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5F3E8">
      <w:pPr>
        <w:spacing w:line="600" w:lineRule="exact"/>
        <w:jc w:val="center"/>
        <w:outlineLvl w:val="0"/>
        <w:rPr>
          <w:rFonts w:ascii="黑体" w:eastAsia="黑体"/>
          <w:b/>
          <w:sz w:val="48"/>
          <w:szCs w:val="48"/>
        </w:rPr>
      </w:pPr>
      <w:bookmarkStart w:id="0" w:name="_Toc11813"/>
      <w:bookmarkStart w:id="1" w:name="_Toc1803"/>
      <w:bookmarkStart w:id="2" w:name="_Toc17277"/>
      <w:bookmarkStart w:id="3" w:name="_Toc23974"/>
      <w:bookmarkStart w:id="4" w:name="_Toc13265"/>
      <w:bookmarkStart w:id="5" w:name="_Toc19629"/>
      <w:bookmarkStart w:id="6" w:name="_Hlk104273075"/>
      <w:r>
        <w:rPr>
          <w:rFonts w:hint="eastAsia" w:ascii="黑体" w:eastAsia="黑体"/>
          <w:b/>
          <w:sz w:val="48"/>
          <w:szCs w:val="48"/>
        </w:rPr>
        <w:t>陕西丰汇韵嘉会计师事务所</w:t>
      </w:r>
      <w:bookmarkEnd w:id="0"/>
      <w:bookmarkEnd w:id="1"/>
      <w:bookmarkEnd w:id="2"/>
      <w:bookmarkEnd w:id="3"/>
      <w:bookmarkEnd w:id="4"/>
      <w:bookmarkEnd w:id="5"/>
    </w:p>
    <w:p w14:paraId="41964A85">
      <w:pPr>
        <w:spacing w:line="600" w:lineRule="exact"/>
        <w:jc w:val="center"/>
        <w:outlineLvl w:val="0"/>
        <w:rPr>
          <w:rFonts w:hint="eastAsia" w:ascii="黑体" w:eastAsia="黑体"/>
          <w:b/>
          <w:sz w:val="48"/>
          <w:szCs w:val="48"/>
        </w:rPr>
      </w:pPr>
      <w:bookmarkStart w:id="7" w:name="_Toc5149"/>
      <w:bookmarkStart w:id="8" w:name="_Toc88"/>
      <w:bookmarkStart w:id="9" w:name="_Toc9272"/>
      <w:bookmarkStart w:id="10" w:name="_Toc16031"/>
      <w:bookmarkStart w:id="11" w:name="_Toc24650"/>
      <w:bookmarkStart w:id="12" w:name="_Toc22402"/>
      <w:r>
        <w:rPr>
          <w:rFonts w:hint="eastAsia" w:ascii="黑体" w:eastAsia="黑体"/>
          <w:b/>
          <w:sz w:val="48"/>
          <w:szCs w:val="48"/>
        </w:rPr>
        <w:t>合伙企业（普通合伙）</w:t>
      </w:r>
      <w:bookmarkEnd w:id="7"/>
      <w:bookmarkEnd w:id="8"/>
      <w:bookmarkEnd w:id="9"/>
      <w:bookmarkEnd w:id="10"/>
      <w:bookmarkEnd w:id="11"/>
      <w:bookmarkEnd w:id="12"/>
    </w:p>
    <w:bookmarkEnd w:id="6"/>
    <w:p w14:paraId="561570FC">
      <w:pPr>
        <w:pBdr>
          <w:bottom w:val="single" w:color="auto" w:sz="6" w:space="1"/>
        </w:pBdr>
        <w:jc w:val="center"/>
        <w:rPr>
          <w:rFonts w:hint="eastAsia" w:ascii="宋体" w:hAnsi="宋体"/>
          <w:b/>
        </w:rPr>
      </w:pPr>
    </w:p>
    <w:p w14:paraId="4194124C">
      <w:pPr>
        <w:pBdr>
          <w:bottom w:val="single" w:color="auto" w:sz="6" w:space="1"/>
        </w:pBdr>
        <w:spacing w:line="600" w:lineRule="exact"/>
        <w:jc w:val="center"/>
        <w:rPr>
          <w:rFonts w:hint="eastAsia" w:ascii="宋体" w:hAnsi="宋体" w:cs="宋体"/>
          <w:b/>
          <w:sz w:val="24"/>
        </w:rPr>
      </w:pPr>
      <w:r>
        <w:rPr>
          <w:rFonts w:hint="eastAsia" w:ascii="宋体" w:hAnsi="宋体" w:cs="宋体"/>
          <w:b/>
          <w:sz w:val="24"/>
        </w:rPr>
        <w:t>陕西丰汇咨字〔2024〕第166号</w:t>
      </w:r>
    </w:p>
    <w:p w14:paraId="28798AFE">
      <w:pPr>
        <w:tabs>
          <w:tab w:val="left" w:pos="0"/>
        </w:tabs>
        <w:spacing w:line="360" w:lineRule="auto"/>
        <w:jc w:val="center"/>
        <w:rPr>
          <w:rFonts w:hint="eastAsia" w:ascii="黑体" w:eastAsia="黑体"/>
          <w:b/>
          <w:sz w:val="32"/>
          <w:szCs w:val="32"/>
        </w:rPr>
      </w:pPr>
    </w:p>
    <w:p w14:paraId="3E9E8729">
      <w:pPr>
        <w:tabs>
          <w:tab w:val="left" w:pos="0"/>
        </w:tabs>
        <w:spacing w:line="360" w:lineRule="auto"/>
        <w:jc w:val="center"/>
        <w:rPr>
          <w:rFonts w:hint="eastAsia" w:ascii="黑体" w:eastAsia="黑体"/>
          <w:b/>
          <w:sz w:val="32"/>
          <w:szCs w:val="32"/>
        </w:rPr>
      </w:pPr>
    </w:p>
    <w:p w14:paraId="1315E391">
      <w:pPr>
        <w:keepNext w:val="0"/>
        <w:keepLines w:val="0"/>
        <w:widowControl w:val="0"/>
        <w:suppressLineNumbers w:val="0"/>
        <w:spacing w:before="0" w:beforeAutospacing="0" w:after="0" w:afterAutospacing="0" w:line="600" w:lineRule="auto"/>
        <w:ind w:left="0" w:right="0"/>
        <w:jc w:val="center"/>
        <w:rPr>
          <w:rFonts w:hint="eastAsia" w:ascii="宋体" w:hAnsi="宋体" w:eastAsia="宋体" w:cs="宋体"/>
          <w:b/>
          <w:bCs/>
          <w:spacing w:val="85"/>
          <w:kern w:val="2"/>
          <w:sz w:val="28"/>
          <w:szCs w:val="28"/>
          <w:lang w:val="en-US" w:eastAsia="zh-CN" w:bidi="ar"/>
        </w:rPr>
      </w:pPr>
      <w:r>
        <w:rPr>
          <w:rFonts w:hint="eastAsia" w:ascii="宋体" w:hAnsi="宋体" w:eastAsia="宋体" w:cs="宋体"/>
          <w:b/>
          <w:bCs/>
          <w:spacing w:val="85"/>
          <w:kern w:val="2"/>
          <w:sz w:val="28"/>
          <w:szCs w:val="28"/>
          <w:lang w:val="en-US" w:eastAsia="zh-CN" w:bidi="ar"/>
        </w:rPr>
        <w:t>林芝市公安局</w:t>
      </w:r>
    </w:p>
    <w:p w14:paraId="5EA1A710">
      <w:pPr>
        <w:keepNext w:val="0"/>
        <w:keepLines w:val="0"/>
        <w:widowControl w:val="0"/>
        <w:suppressLineNumbers w:val="0"/>
        <w:spacing w:before="0" w:beforeAutospacing="0" w:after="0" w:afterAutospacing="0" w:line="600" w:lineRule="auto"/>
        <w:ind w:left="0" w:right="0"/>
        <w:jc w:val="center"/>
        <w:rPr>
          <w:rFonts w:hint="eastAsia" w:ascii="宋体" w:hAnsi="宋体" w:eastAsia="宋体" w:cs="宋体"/>
          <w:b/>
          <w:bCs/>
          <w:spacing w:val="85"/>
          <w:kern w:val="2"/>
          <w:sz w:val="28"/>
          <w:szCs w:val="28"/>
        </w:rPr>
      </w:pPr>
      <w:r>
        <w:rPr>
          <w:rFonts w:hint="eastAsia" w:ascii="宋体" w:hAnsi="宋体" w:eastAsia="宋体" w:cs="宋体"/>
          <w:b/>
          <w:bCs/>
          <w:spacing w:val="85"/>
          <w:kern w:val="2"/>
          <w:sz w:val="28"/>
          <w:szCs w:val="28"/>
          <w:lang w:val="en-US" w:eastAsia="zh-CN" w:bidi="ar"/>
        </w:rPr>
        <w:t>2023年度部门整体支出</w:t>
      </w:r>
    </w:p>
    <w:p w14:paraId="25131FB3">
      <w:pPr>
        <w:keepNext w:val="0"/>
        <w:keepLines w:val="0"/>
        <w:widowControl w:val="0"/>
        <w:suppressLineNumbers w:val="0"/>
        <w:spacing w:before="0" w:beforeAutospacing="0" w:after="0" w:afterAutospacing="0" w:line="600" w:lineRule="auto"/>
        <w:ind w:left="0" w:right="0"/>
        <w:jc w:val="center"/>
        <w:rPr>
          <w:rFonts w:hint="eastAsia" w:ascii="宋体" w:hAnsi="宋体" w:eastAsia="宋体" w:cs="宋体"/>
          <w:b/>
          <w:bCs/>
          <w:spacing w:val="113"/>
          <w:kern w:val="2"/>
          <w:sz w:val="28"/>
          <w:szCs w:val="28"/>
        </w:rPr>
      </w:pPr>
      <w:r>
        <w:rPr>
          <w:rFonts w:hint="eastAsia" w:ascii="宋体" w:hAnsi="宋体" w:eastAsia="宋体" w:cs="宋体"/>
          <w:b/>
          <w:bCs/>
          <w:spacing w:val="113"/>
          <w:kern w:val="2"/>
          <w:sz w:val="28"/>
          <w:szCs w:val="28"/>
          <w:lang w:val="en-US" w:eastAsia="zh-CN" w:bidi="ar"/>
        </w:rPr>
        <w:t>绩效评价报告</w:t>
      </w:r>
    </w:p>
    <w:p w14:paraId="1FCAC8AA">
      <w:pPr>
        <w:tabs>
          <w:tab w:val="left" w:pos="0"/>
        </w:tabs>
        <w:spacing w:line="360" w:lineRule="auto"/>
        <w:jc w:val="center"/>
        <w:rPr>
          <w:rFonts w:hint="eastAsia" w:ascii="黑体" w:eastAsia="黑体"/>
          <w:b/>
          <w:sz w:val="32"/>
          <w:szCs w:val="32"/>
        </w:rPr>
      </w:pPr>
    </w:p>
    <w:p w14:paraId="22FA152B">
      <w:pPr>
        <w:spacing w:line="360" w:lineRule="auto"/>
        <w:jc w:val="left"/>
        <w:rPr>
          <w:rFonts w:ascii="宋体" w:hAnsi="宋体" w:eastAsia="宋体" w:cs="宋体"/>
          <w:b/>
          <w:bCs/>
          <w:spacing w:val="85"/>
          <w:sz w:val="28"/>
          <w:szCs w:val="28"/>
        </w:rPr>
      </w:pPr>
    </w:p>
    <w:p w14:paraId="3FB5CF58">
      <w:pPr>
        <w:spacing w:line="360" w:lineRule="auto"/>
        <w:jc w:val="left"/>
        <w:rPr>
          <w:rFonts w:ascii="宋体" w:hAnsi="宋体" w:eastAsia="宋体" w:cs="宋体"/>
          <w:spacing w:val="85"/>
          <w:sz w:val="24"/>
          <w:szCs w:val="24"/>
        </w:rPr>
      </w:pPr>
    </w:p>
    <w:p w14:paraId="5E82A553">
      <w:pPr>
        <w:spacing w:line="360" w:lineRule="auto"/>
        <w:jc w:val="left"/>
        <w:rPr>
          <w:rFonts w:hint="eastAsia" w:ascii="宋体" w:hAnsi="宋体" w:eastAsia="宋体" w:cs="宋体"/>
          <w:spacing w:val="85"/>
          <w:sz w:val="24"/>
          <w:szCs w:val="24"/>
          <w:lang w:eastAsia="zh"/>
        </w:rPr>
      </w:pPr>
      <w:r>
        <w:rPr>
          <w:rFonts w:hint="eastAsia" w:ascii="宋体" w:hAnsi="宋体" w:eastAsia="宋体" w:cs="宋体"/>
          <w:spacing w:val="85"/>
          <w:sz w:val="24"/>
          <w:szCs w:val="24"/>
          <w:lang w:val="en-US" w:eastAsia="zh-CN"/>
        </w:rPr>
        <w:t>单位名称</w:t>
      </w:r>
      <w:r>
        <w:rPr>
          <w:rFonts w:hint="eastAsia" w:ascii="宋体" w:hAnsi="宋体" w:eastAsia="宋体" w:cs="宋体"/>
          <w:spacing w:val="85"/>
          <w:sz w:val="24"/>
          <w:szCs w:val="24"/>
        </w:rPr>
        <w:t>：</w:t>
      </w:r>
      <w:r>
        <w:rPr>
          <w:rFonts w:hint="eastAsia" w:ascii="宋体" w:hAnsi="宋体" w:eastAsia="宋体" w:cs="宋体"/>
          <w:spacing w:val="85"/>
          <w:sz w:val="24"/>
          <w:szCs w:val="24"/>
          <w:lang w:eastAsia="zh"/>
        </w:rPr>
        <w:t>林芝市公安局</w:t>
      </w:r>
    </w:p>
    <w:p w14:paraId="521E2E25">
      <w:pPr>
        <w:spacing w:line="360" w:lineRule="auto"/>
        <w:jc w:val="left"/>
        <w:rPr>
          <w:rFonts w:ascii="宋体" w:hAnsi="宋体" w:eastAsia="宋体" w:cs="宋体"/>
          <w:spacing w:val="85"/>
          <w:sz w:val="24"/>
          <w:szCs w:val="24"/>
        </w:rPr>
      </w:pPr>
    </w:p>
    <w:p w14:paraId="44C3C1D1">
      <w:pPr>
        <w:spacing w:line="360" w:lineRule="auto"/>
        <w:jc w:val="left"/>
        <w:rPr>
          <w:rFonts w:hint="default" w:ascii="宋体" w:hAnsi="宋体" w:eastAsia="宋体" w:cs="宋体"/>
          <w:spacing w:val="85"/>
          <w:sz w:val="24"/>
          <w:szCs w:val="24"/>
          <w:lang w:val="en-US" w:eastAsia="zh"/>
        </w:rPr>
      </w:pPr>
      <w:r>
        <w:rPr>
          <w:rFonts w:hint="eastAsia" w:ascii="宋体" w:hAnsi="宋体" w:eastAsia="宋体" w:cs="宋体"/>
          <w:spacing w:val="85"/>
          <w:kern w:val="2"/>
          <w:sz w:val="24"/>
          <w:szCs w:val="24"/>
          <w:lang w:val="en-US" w:eastAsia="zh-CN" w:bidi="ar"/>
        </w:rPr>
        <w:t>委托单位：林芝市财政局</w:t>
      </w:r>
    </w:p>
    <w:p w14:paraId="55C070B1">
      <w:pPr>
        <w:spacing w:line="360" w:lineRule="auto"/>
        <w:jc w:val="left"/>
        <w:rPr>
          <w:rFonts w:ascii="宋体" w:hAnsi="宋体" w:eastAsia="宋体" w:cs="宋体"/>
          <w:spacing w:val="85"/>
          <w:sz w:val="24"/>
          <w:szCs w:val="24"/>
        </w:rPr>
      </w:pPr>
    </w:p>
    <w:p w14:paraId="0FD5BF6B">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spacing w:val="85"/>
          <w:kern w:val="2"/>
          <w:sz w:val="24"/>
          <w:szCs w:val="24"/>
          <w:lang w:val="en-US" w:eastAsia="zh-CN" w:bidi="ar"/>
        </w:rPr>
      </w:pPr>
      <w:r>
        <w:rPr>
          <w:rFonts w:hint="eastAsia" w:ascii="宋体" w:hAnsi="宋体" w:eastAsia="宋体" w:cs="宋体"/>
          <w:spacing w:val="85"/>
          <w:kern w:val="2"/>
          <w:sz w:val="24"/>
          <w:szCs w:val="24"/>
          <w:lang w:val="en-US" w:eastAsia="zh-CN" w:bidi="ar"/>
        </w:rPr>
        <w:t>评价机构：陕西丰汇韵嘉会计师事务所</w:t>
      </w:r>
    </w:p>
    <w:p w14:paraId="33D587DB">
      <w:pPr>
        <w:keepNext w:val="0"/>
        <w:keepLines w:val="0"/>
        <w:widowControl w:val="0"/>
        <w:suppressLineNumbers w:val="0"/>
        <w:spacing w:before="0" w:beforeAutospacing="0" w:after="0" w:afterAutospacing="0" w:line="360" w:lineRule="auto"/>
        <w:ind w:left="0" w:right="0" w:firstLine="2050" w:firstLineChars="500"/>
        <w:jc w:val="left"/>
        <w:rPr>
          <w:rFonts w:hint="eastAsia" w:ascii="宋体" w:hAnsi="宋体" w:eastAsia="宋体" w:cs="宋体"/>
          <w:spacing w:val="85"/>
          <w:kern w:val="2"/>
          <w:sz w:val="24"/>
          <w:szCs w:val="24"/>
          <w:lang w:val="en-US" w:eastAsia="zh-CN" w:bidi="ar"/>
        </w:rPr>
      </w:pPr>
      <w:r>
        <w:rPr>
          <w:rFonts w:hint="eastAsia" w:ascii="宋体" w:hAnsi="宋体" w:eastAsia="宋体" w:cs="宋体"/>
          <w:spacing w:val="85"/>
          <w:kern w:val="2"/>
          <w:sz w:val="24"/>
          <w:szCs w:val="24"/>
          <w:lang w:val="en-US" w:eastAsia="zh-CN" w:bidi="ar"/>
        </w:rPr>
        <w:t>合伙企业（普通合伙）</w:t>
      </w:r>
    </w:p>
    <w:p w14:paraId="58FC58C5">
      <w:pPr>
        <w:spacing w:line="600" w:lineRule="auto"/>
        <w:jc w:val="center"/>
        <w:rPr>
          <w:rFonts w:hint="eastAsia" w:ascii="宋体" w:hAnsi="宋体" w:eastAsia="宋体" w:cs="宋体"/>
          <w:b/>
          <w:bCs/>
          <w:spacing w:val="85"/>
          <w:sz w:val="28"/>
          <w:szCs w:val="28"/>
        </w:rPr>
      </w:pPr>
    </w:p>
    <w:p w14:paraId="601267F4">
      <w:pPr>
        <w:spacing w:line="600" w:lineRule="auto"/>
        <w:jc w:val="center"/>
        <w:rPr>
          <w:rFonts w:ascii="宋体" w:hAnsi="宋体" w:eastAsia="宋体" w:cs="宋体"/>
          <w:b/>
          <w:bCs/>
          <w:spacing w:val="85"/>
          <w:sz w:val="28"/>
          <w:szCs w:val="28"/>
        </w:rPr>
      </w:pPr>
      <w:r>
        <w:rPr>
          <w:rFonts w:hint="eastAsia" w:ascii="宋体" w:hAnsi="宋体" w:eastAsia="宋体" w:cs="宋体"/>
          <w:b/>
          <w:bCs/>
          <w:spacing w:val="85"/>
          <w:sz w:val="28"/>
          <w:szCs w:val="28"/>
        </w:rPr>
        <w:t xml:space="preserve"> </w:t>
      </w:r>
    </w:p>
    <w:p w14:paraId="6F900201">
      <w:pPr>
        <w:jc w:val="center"/>
        <w:rPr>
          <w:rFonts w:ascii="仿宋_GB2312" w:hAnsi="仿宋_GB2312" w:eastAsia="仿宋_GB2312" w:cs="仿宋_GB2312"/>
          <w:sz w:val="32"/>
          <w:szCs w:val="32"/>
        </w:rPr>
      </w:pPr>
    </w:p>
    <w:p w14:paraId="6937F006">
      <w:pPr>
        <w:keepNext w:val="0"/>
        <w:keepLines w:val="0"/>
        <w:widowControl w:val="0"/>
        <w:suppressLineNumbers w:val="0"/>
        <w:spacing w:before="0" w:beforeAutospacing="0" w:after="0" w:afterAutospacing="0"/>
        <w:ind w:left="0" w:right="0"/>
        <w:jc w:val="center"/>
        <w:rPr>
          <w:rFonts w:hint="eastAsia" w:ascii="宋体" w:hAnsi="宋体" w:eastAsia="宋体" w:cs="宋体"/>
          <w:spacing w:val="85"/>
          <w:kern w:val="2"/>
          <w:sz w:val="24"/>
          <w:szCs w:val="24"/>
          <w:lang w:val="en-US" w:eastAsia="zh-CN" w:bidi="ar"/>
        </w:rPr>
      </w:pPr>
      <w:r>
        <w:rPr>
          <w:rFonts w:hint="eastAsia" w:ascii="宋体" w:hAnsi="宋体" w:eastAsia="宋体" w:cs="宋体"/>
          <w:spacing w:val="85"/>
          <w:kern w:val="2"/>
          <w:sz w:val="24"/>
          <w:szCs w:val="24"/>
          <w:lang w:val="en-US" w:eastAsia="zh-CN" w:bidi="ar"/>
        </w:rPr>
        <w:t>2024年06月</w:t>
      </w:r>
      <w:r>
        <w:rPr>
          <w:rFonts w:hint="eastAsia" w:ascii="宋体" w:hAnsi="宋体" w:eastAsia="宋体" w:cs="宋体"/>
          <w:spacing w:val="85"/>
          <w:kern w:val="2"/>
          <w:sz w:val="24"/>
          <w:szCs w:val="24"/>
          <w:lang w:val="en-US" w:eastAsia="zh" w:bidi="ar"/>
        </w:rPr>
        <w:t>0</w:t>
      </w:r>
      <w:r>
        <w:rPr>
          <w:rFonts w:hint="eastAsia" w:ascii="宋体" w:hAnsi="宋体" w:eastAsia="宋体" w:cs="宋体"/>
          <w:spacing w:val="85"/>
          <w:kern w:val="2"/>
          <w:sz w:val="24"/>
          <w:szCs w:val="24"/>
          <w:lang w:val="en-US" w:eastAsia="zh-CN" w:bidi="ar"/>
        </w:rPr>
        <w:t>4日</w:t>
      </w:r>
    </w:p>
    <w:p w14:paraId="17508C41">
      <w:pPr>
        <w:jc w:val="center"/>
        <w:rPr>
          <w:rFonts w:ascii="宋体" w:hAnsi="宋体" w:eastAsia="宋体" w:cs="宋体"/>
          <w:b/>
          <w:bCs/>
          <w:sz w:val="28"/>
          <w:szCs w:val="28"/>
        </w:rPr>
      </w:pPr>
    </w:p>
    <w:p w14:paraId="10FD9B41">
      <w:pPr>
        <w:pStyle w:val="9"/>
        <w:keepNext w:val="0"/>
        <w:keepLines w:val="0"/>
        <w:widowControl/>
        <w:suppressLineNumbers w:val="0"/>
        <w:ind w:left="0" w:firstLine="0"/>
        <w:jc w:val="center"/>
        <w:rPr>
          <w:rFonts w:hint="eastAsia" w:ascii="微软雅黑" w:hAnsi="微软雅黑" w:eastAsia="微软雅黑" w:cs="微软雅黑"/>
          <w:i w:val="0"/>
          <w:iCs w:val="0"/>
          <w:caps w:val="0"/>
          <w:color w:val="000000"/>
          <w:spacing w:val="0"/>
          <w:sz w:val="36"/>
          <w:szCs w:val="36"/>
          <w:lang w:val="en-US" w:eastAsia="zh"/>
        </w:rPr>
        <w:sectPr>
          <w:headerReference r:id="rId3" w:type="default"/>
          <w:footerReference r:id="rId4" w:type="default"/>
          <w:pgSz w:w="11906" w:h="16838"/>
          <w:pgMar w:top="1497" w:right="1417" w:bottom="1106" w:left="1638" w:header="340" w:footer="567" w:gutter="0"/>
          <w:pgBorders>
            <w:top w:val="none" w:sz="0" w:space="0"/>
            <w:left w:val="none" w:sz="0" w:space="0"/>
            <w:bottom w:val="none" w:sz="0" w:space="0"/>
            <w:right w:val="none" w:sz="0" w:space="0"/>
          </w:pgBorders>
          <w:cols w:space="425" w:num="1"/>
          <w:docGrid w:type="lines" w:linePitch="312" w:charSpace="0"/>
        </w:sectPr>
      </w:pPr>
    </w:p>
    <w:p w14:paraId="345C74C8">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宋体" w:hAnsi="宋体" w:eastAsia="宋体" w:cs="宋体"/>
          <w:sz w:val="24"/>
          <w:szCs w:val="24"/>
        </w:rPr>
      </w:pPr>
      <w:r>
        <w:rPr>
          <w:rFonts w:hint="eastAsia" w:ascii="宋体" w:hAnsi="宋体" w:eastAsia="宋体" w:cs="宋体"/>
          <w:b/>
          <w:bCs/>
          <w:sz w:val="28"/>
          <w:szCs w:val="28"/>
        </w:rPr>
        <w:t>目录</w:t>
      </w:r>
      <w:r>
        <w:rPr>
          <w:rFonts w:hint="eastAsia" w:ascii="宋体" w:hAnsi="宋体" w:eastAsia="宋体" w:cs="宋体"/>
          <w:b/>
          <w:bCs/>
          <w:i w:val="0"/>
          <w:iCs w:val="0"/>
          <w:caps w:val="0"/>
          <w:color w:val="000000"/>
          <w:spacing w:val="0"/>
          <w:kern w:val="0"/>
          <w:sz w:val="24"/>
          <w:szCs w:val="24"/>
          <w:lang w:val="en-US" w:eastAsia="zh-CN" w:bidi="ar"/>
        </w:rPr>
        <w:fldChar w:fldCharType="begin"/>
      </w:r>
      <w:r>
        <w:rPr>
          <w:rFonts w:hint="eastAsia" w:ascii="宋体" w:hAnsi="宋体" w:eastAsia="宋体" w:cs="宋体"/>
          <w:b/>
          <w:bCs/>
          <w:i w:val="0"/>
          <w:iCs w:val="0"/>
          <w:caps w:val="0"/>
          <w:color w:val="000000"/>
          <w:spacing w:val="0"/>
          <w:kern w:val="0"/>
          <w:sz w:val="24"/>
          <w:szCs w:val="24"/>
          <w:lang w:val="en-US" w:eastAsia="zh-CN" w:bidi="ar"/>
        </w:rPr>
        <w:instrText xml:space="preserve">TOC \o "1-2" \h \u </w:instrText>
      </w:r>
      <w:r>
        <w:rPr>
          <w:rFonts w:hint="eastAsia" w:ascii="宋体" w:hAnsi="宋体" w:eastAsia="宋体" w:cs="宋体"/>
          <w:b/>
          <w:bCs/>
          <w:i w:val="0"/>
          <w:iCs w:val="0"/>
          <w:caps w:val="0"/>
          <w:color w:val="000000"/>
          <w:spacing w:val="0"/>
          <w:kern w:val="0"/>
          <w:sz w:val="24"/>
          <w:szCs w:val="24"/>
          <w:lang w:val="en-US" w:eastAsia="zh-CN" w:bidi="ar"/>
        </w:rPr>
        <w:fldChar w:fldCharType="separate"/>
      </w:r>
    </w:p>
    <w:p w14:paraId="5252E0E1">
      <w:pPr>
        <w:pStyle w:val="7"/>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i w:val="0"/>
          <w:iCs w:val="0"/>
          <w:caps w:val="0"/>
          <w:color w:val="000000"/>
          <w:spacing w:val="0"/>
          <w:kern w:val="0"/>
          <w:sz w:val="24"/>
          <w:szCs w:val="24"/>
          <w:lang w:val="en-US" w:eastAsia="zh-CN" w:bidi="ar"/>
        </w:rPr>
        <w:fldChar w:fldCharType="begin"/>
      </w:r>
      <w:r>
        <w:rPr>
          <w:rFonts w:hint="eastAsia" w:ascii="宋体" w:hAnsi="宋体" w:eastAsia="宋体" w:cs="宋体"/>
          <w:b/>
          <w:bCs w:val="0"/>
          <w:i w:val="0"/>
          <w:iCs w:val="0"/>
          <w:caps w:val="0"/>
          <w:spacing w:val="0"/>
          <w:kern w:val="0"/>
          <w:sz w:val="24"/>
          <w:szCs w:val="24"/>
          <w:lang w:val="en-US" w:eastAsia="zh-CN" w:bidi="ar"/>
        </w:rPr>
        <w:instrText xml:space="preserve"> HYPERLINK \l _Toc16615 </w:instrText>
      </w:r>
      <w:r>
        <w:rPr>
          <w:rFonts w:hint="eastAsia" w:ascii="宋体" w:hAnsi="宋体" w:eastAsia="宋体" w:cs="宋体"/>
          <w:b/>
          <w:bCs w:val="0"/>
          <w:i w:val="0"/>
          <w:iCs w:val="0"/>
          <w:caps w:val="0"/>
          <w:spacing w:val="0"/>
          <w:kern w:val="0"/>
          <w:sz w:val="24"/>
          <w:szCs w:val="24"/>
          <w:lang w:val="en-US" w:eastAsia="zh-CN" w:bidi="ar"/>
        </w:rPr>
        <w:fldChar w:fldCharType="separate"/>
      </w:r>
      <w:r>
        <w:rPr>
          <w:rFonts w:hint="eastAsia" w:ascii="宋体" w:hAnsi="宋体" w:eastAsia="宋体" w:cs="宋体"/>
          <w:b/>
          <w:bCs w:val="0"/>
          <w:kern w:val="2"/>
          <w:sz w:val="24"/>
          <w:szCs w:val="24"/>
          <w:lang w:val="en-US" w:eastAsia="zh" w:bidi="ar"/>
        </w:rPr>
        <w:t>一、</w:t>
      </w:r>
      <w:r>
        <w:rPr>
          <w:rFonts w:hint="eastAsia" w:ascii="宋体" w:hAnsi="宋体" w:eastAsia="宋体" w:cs="宋体"/>
          <w:b/>
          <w:bCs w:val="0"/>
          <w:kern w:val="2"/>
          <w:sz w:val="24"/>
          <w:szCs w:val="24"/>
          <w:lang w:val="en-US" w:eastAsia="zh-CN" w:bidi="ar"/>
        </w:rPr>
        <w:t>部门基本情况</w:t>
      </w:r>
      <w:r>
        <w:rPr>
          <w:rFonts w:hint="eastAsia" w:ascii="宋体" w:hAnsi="宋体" w:eastAsia="宋体" w:cs="宋体"/>
          <w:b/>
          <w:bCs w:val="0"/>
          <w:sz w:val="24"/>
          <w:szCs w:val="24"/>
        </w:rPr>
        <w:tab/>
      </w:r>
      <w:r>
        <w:rPr>
          <w:rFonts w:hint="eastAsia" w:ascii="宋体" w:hAnsi="宋体" w:eastAsia="宋体" w:cs="宋体"/>
          <w:b/>
          <w:bCs w:val="0"/>
          <w:sz w:val="24"/>
          <w:szCs w:val="24"/>
        </w:rPr>
        <w:fldChar w:fldCharType="begin"/>
      </w:r>
      <w:r>
        <w:rPr>
          <w:rFonts w:hint="eastAsia" w:ascii="宋体" w:hAnsi="宋体" w:eastAsia="宋体" w:cs="宋体"/>
          <w:b/>
          <w:bCs w:val="0"/>
          <w:sz w:val="24"/>
          <w:szCs w:val="24"/>
        </w:rPr>
        <w:instrText xml:space="preserve"> PAGEREF _Toc16615 \h </w:instrText>
      </w:r>
      <w:r>
        <w:rPr>
          <w:rFonts w:hint="eastAsia" w:ascii="宋体" w:hAnsi="宋体" w:eastAsia="宋体" w:cs="宋体"/>
          <w:b/>
          <w:bCs w:val="0"/>
          <w:sz w:val="24"/>
          <w:szCs w:val="24"/>
        </w:rPr>
        <w:fldChar w:fldCharType="separate"/>
      </w:r>
      <w:r>
        <w:rPr>
          <w:rFonts w:hint="eastAsia" w:ascii="宋体" w:hAnsi="宋体" w:eastAsia="宋体" w:cs="宋体"/>
          <w:b/>
          <w:bCs w:val="0"/>
          <w:sz w:val="24"/>
          <w:szCs w:val="24"/>
        </w:rPr>
        <w:t>1</w:t>
      </w:r>
      <w:r>
        <w:rPr>
          <w:rFonts w:hint="eastAsia" w:ascii="宋体" w:hAnsi="宋体" w:eastAsia="宋体" w:cs="宋体"/>
          <w:b/>
          <w:bCs w:val="0"/>
          <w:sz w:val="24"/>
          <w:szCs w:val="24"/>
        </w:rPr>
        <w:fldChar w:fldCharType="end"/>
      </w:r>
      <w:r>
        <w:rPr>
          <w:rFonts w:hint="eastAsia" w:ascii="宋体" w:hAnsi="宋体" w:eastAsia="宋体" w:cs="宋体"/>
          <w:b/>
          <w:bCs w:val="0"/>
          <w:i w:val="0"/>
          <w:iCs w:val="0"/>
          <w:caps w:val="0"/>
          <w:color w:val="000000"/>
          <w:spacing w:val="0"/>
          <w:kern w:val="0"/>
          <w:sz w:val="24"/>
          <w:szCs w:val="24"/>
          <w:lang w:val="en-US" w:eastAsia="zh-CN" w:bidi="ar"/>
        </w:rPr>
        <w:fldChar w:fldCharType="end"/>
      </w:r>
    </w:p>
    <w:p w14:paraId="29C7DE1D">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_Toc19771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 w:bidi="ar"/>
        </w:rPr>
        <w:t>（一）</w:t>
      </w:r>
      <w:r>
        <w:rPr>
          <w:rFonts w:hint="eastAsia" w:ascii="宋体" w:hAnsi="宋体" w:eastAsia="宋体" w:cs="宋体"/>
          <w:bCs/>
          <w:kern w:val="2"/>
          <w:sz w:val="24"/>
          <w:szCs w:val="24"/>
          <w:lang w:val="en-US" w:eastAsia="zh-CN" w:bidi="ar"/>
        </w:rPr>
        <w:t>部门主要职能</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_Toc19771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0A156F89">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_Toc23587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 w:eastAsia="zh-CN" w:bidi="ar"/>
        </w:rPr>
        <w:t>（</w:t>
      </w:r>
      <w:r>
        <w:rPr>
          <w:rFonts w:hint="eastAsia" w:ascii="宋体" w:hAnsi="宋体" w:eastAsia="宋体" w:cs="宋体"/>
          <w:bCs/>
          <w:kern w:val="2"/>
          <w:sz w:val="24"/>
          <w:szCs w:val="24"/>
          <w:lang w:val="en" w:eastAsia="zh" w:bidi="ar"/>
        </w:rPr>
        <w:t>二</w:t>
      </w:r>
      <w:r>
        <w:rPr>
          <w:rFonts w:hint="eastAsia" w:ascii="宋体" w:hAnsi="宋体" w:eastAsia="宋体" w:cs="宋体"/>
          <w:bCs/>
          <w:kern w:val="2"/>
          <w:sz w:val="24"/>
          <w:szCs w:val="24"/>
          <w:lang w:val="en" w:eastAsia="zh-CN" w:bidi="ar"/>
        </w:rPr>
        <w:t>）年度总体工作、重点工作任务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_Toc23587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7EBF2084">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_Toc11124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 w:eastAsia="zh-CN" w:bidi="ar"/>
        </w:rPr>
        <w:t>（</w:t>
      </w:r>
      <w:r>
        <w:rPr>
          <w:rFonts w:hint="eastAsia" w:ascii="宋体" w:hAnsi="宋体" w:eastAsia="宋体" w:cs="宋体"/>
          <w:bCs/>
          <w:kern w:val="2"/>
          <w:sz w:val="24"/>
          <w:szCs w:val="24"/>
          <w:lang w:val="en" w:eastAsia="zh" w:bidi="ar"/>
        </w:rPr>
        <w:t>三</w:t>
      </w:r>
      <w:r>
        <w:rPr>
          <w:rFonts w:hint="eastAsia" w:ascii="宋体" w:hAnsi="宋体" w:eastAsia="宋体" w:cs="宋体"/>
          <w:bCs/>
          <w:kern w:val="2"/>
          <w:sz w:val="24"/>
          <w:szCs w:val="24"/>
          <w:lang w:val="en" w:eastAsia="zh-CN" w:bidi="ar"/>
        </w:rPr>
        <w:t>）部门预算批复及整体支出安排情况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_Toc11124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6D0EB525">
      <w:pPr>
        <w:pStyle w:val="7"/>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i w:val="0"/>
          <w:iCs w:val="0"/>
          <w:caps w:val="0"/>
          <w:color w:val="000000"/>
          <w:spacing w:val="0"/>
          <w:kern w:val="0"/>
          <w:sz w:val="24"/>
          <w:szCs w:val="24"/>
          <w:lang w:val="en-US" w:eastAsia="zh-CN" w:bidi="ar"/>
        </w:rPr>
        <w:fldChar w:fldCharType="begin"/>
      </w:r>
      <w:r>
        <w:rPr>
          <w:rFonts w:hint="eastAsia" w:ascii="宋体" w:hAnsi="宋体" w:eastAsia="宋体" w:cs="宋体"/>
          <w:b/>
          <w:bCs w:val="0"/>
          <w:i w:val="0"/>
          <w:iCs w:val="0"/>
          <w:caps w:val="0"/>
          <w:spacing w:val="0"/>
          <w:kern w:val="0"/>
          <w:sz w:val="24"/>
          <w:szCs w:val="24"/>
          <w:lang w:val="en-US" w:eastAsia="zh-CN" w:bidi="ar"/>
        </w:rPr>
        <w:instrText xml:space="preserve"> HYPERLINK \l _Toc16980 </w:instrText>
      </w:r>
      <w:r>
        <w:rPr>
          <w:rFonts w:hint="eastAsia" w:ascii="宋体" w:hAnsi="宋体" w:eastAsia="宋体" w:cs="宋体"/>
          <w:b/>
          <w:bCs w:val="0"/>
          <w:i w:val="0"/>
          <w:iCs w:val="0"/>
          <w:caps w:val="0"/>
          <w:spacing w:val="0"/>
          <w:kern w:val="0"/>
          <w:sz w:val="24"/>
          <w:szCs w:val="24"/>
          <w:lang w:val="en-US" w:eastAsia="zh-CN" w:bidi="ar"/>
        </w:rPr>
        <w:fldChar w:fldCharType="separate"/>
      </w:r>
      <w:r>
        <w:rPr>
          <w:rFonts w:hint="eastAsia" w:ascii="宋体" w:hAnsi="宋体" w:eastAsia="宋体" w:cs="宋体"/>
          <w:b/>
          <w:bCs w:val="0"/>
          <w:kern w:val="2"/>
          <w:sz w:val="24"/>
          <w:szCs w:val="24"/>
          <w:lang w:val="en" w:eastAsia="zh" w:bidi="ar"/>
        </w:rPr>
        <w:t>二、绩效评价工作开展情况</w:t>
      </w:r>
      <w:r>
        <w:rPr>
          <w:rFonts w:hint="eastAsia" w:ascii="宋体" w:hAnsi="宋体" w:eastAsia="宋体" w:cs="宋体"/>
          <w:b/>
          <w:bCs w:val="0"/>
          <w:sz w:val="24"/>
          <w:szCs w:val="24"/>
        </w:rPr>
        <w:tab/>
      </w:r>
      <w:r>
        <w:rPr>
          <w:rFonts w:hint="eastAsia" w:ascii="宋体" w:hAnsi="宋体" w:eastAsia="宋体" w:cs="宋体"/>
          <w:b/>
          <w:bCs w:val="0"/>
          <w:sz w:val="24"/>
          <w:szCs w:val="24"/>
        </w:rPr>
        <w:fldChar w:fldCharType="begin"/>
      </w:r>
      <w:r>
        <w:rPr>
          <w:rFonts w:hint="eastAsia" w:ascii="宋体" w:hAnsi="宋体" w:eastAsia="宋体" w:cs="宋体"/>
          <w:b/>
          <w:bCs w:val="0"/>
          <w:sz w:val="24"/>
          <w:szCs w:val="24"/>
        </w:rPr>
        <w:instrText xml:space="preserve"> PAGEREF _Toc16980 \h </w:instrText>
      </w:r>
      <w:r>
        <w:rPr>
          <w:rFonts w:hint="eastAsia" w:ascii="宋体" w:hAnsi="宋体" w:eastAsia="宋体" w:cs="宋体"/>
          <w:b/>
          <w:bCs w:val="0"/>
          <w:sz w:val="24"/>
          <w:szCs w:val="24"/>
        </w:rPr>
        <w:fldChar w:fldCharType="separate"/>
      </w:r>
      <w:r>
        <w:rPr>
          <w:rFonts w:hint="eastAsia" w:ascii="宋体" w:hAnsi="宋体" w:eastAsia="宋体" w:cs="宋体"/>
          <w:b/>
          <w:bCs w:val="0"/>
          <w:sz w:val="24"/>
          <w:szCs w:val="24"/>
        </w:rPr>
        <w:t>5</w:t>
      </w:r>
      <w:r>
        <w:rPr>
          <w:rFonts w:hint="eastAsia" w:ascii="宋体" w:hAnsi="宋体" w:eastAsia="宋体" w:cs="宋体"/>
          <w:b/>
          <w:bCs w:val="0"/>
          <w:sz w:val="24"/>
          <w:szCs w:val="24"/>
        </w:rPr>
        <w:fldChar w:fldCharType="end"/>
      </w:r>
      <w:r>
        <w:rPr>
          <w:rFonts w:hint="eastAsia" w:ascii="宋体" w:hAnsi="宋体" w:eastAsia="宋体" w:cs="宋体"/>
          <w:b/>
          <w:bCs w:val="0"/>
          <w:i w:val="0"/>
          <w:iCs w:val="0"/>
          <w:caps w:val="0"/>
          <w:color w:val="000000"/>
          <w:spacing w:val="0"/>
          <w:kern w:val="0"/>
          <w:sz w:val="24"/>
          <w:szCs w:val="24"/>
          <w:lang w:val="en-US" w:eastAsia="zh-CN" w:bidi="ar"/>
        </w:rPr>
        <w:fldChar w:fldCharType="end"/>
      </w:r>
    </w:p>
    <w:p w14:paraId="55115104">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_Toc17513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 w:eastAsia="zh-CN" w:bidi="ar"/>
        </w:rPr>
        <w:t>（一）绩效评价目的、对象和范围</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_Toc17513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7F5F90D9">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_Toc10874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sz w:val="24"/>
          <w:szCs w:val="24"/>
          <w:lang w:val="en"/>
        </w:rPr>
        <w:t>（二）</w:t>
      </w:r>
      <w:r>
        <w:rPr>
          <w:rFonts w:hint="eastAsia" w:ascii="宋体" w:hAnsi="宋体" w:eastAsia="宋体" w:cs="宋体"/>
          <w:bCs/>
          <w:sz w:val="24"/>
          <w:szCs w:val="24"/>
          <w:lang w:val="en-US" w:eastAsia="zh-CN"/>
        </w:rPr>
        <w:t>评价依据、</w:t>
      </w:r>
      <w:r>
        <w:rPr>
          <w:rFonts w:hint="eastAsia" w:ascii="宋体" w:hAnsi="宋体" w:eastAsia="宋体" w:cs="宋体"/>
          <w:bCs/>
          <w:sz w:val="24"/>
          <w:szCs w:val="24"/>
          <w:lang w:val="en"/>
        </w:rPr>
        <w:t>绩效评价原则、评价方法、评价标准、评价指标体系</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_Toc10874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641F8033">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_Toc12808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sz w:val="24"/>
          <w:szCs w:val="24"/>
          <w:lang w:val="en" w:eastAsia="zh-CN"/>
        </w:rPr>
        <w:t>（三）绩效评价工作过程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_Toc12808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0CF421FE">
      <w:pPr>
        <w:pStyle w:val="7"/>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i w:val="0"/>
          <w:iCs w:val="0"/>
          <w:caps w:val="0"/>
          <w:color w:val="000000"/>
          <w:spacing w:val="0"/>
          <w:kern w:val="0"/>
          <w:sz w:val="24"/>
          <w:szCs w:val="24"/>
          <w:lang w:val="en-US" w:eastAsia="zh-CN" w:bidi="ar"/>
        </w:rPr>
        <w:fldChar w:fldCharType="begin"/>
      </w:r>
      <w:r>
        <w:rPr>
          <w:rFonts w:hint="eastAsia" w:ascii="宋体" w:hAnsi="宋体" w:eastAsia="宋体" w:cs="宋体"/>
          <w:b/>
          <w:bCs w:val="0"/>
          <w:i w:val="0"/>
          <w:iCs w:val="0"/>
          <w:caps w:val="0"/>
          <w:spacing w:val="0"/>
          <w:kern w:val="0"/>
          <w:sz w:val="24"/>
          <w:szCs w:val="24"/>
          <w:lang w:val="en-US" w:eastAsia="zh-CN" w:bidi="ar"/>
        </w:rPr>
        <w:instrText xml:space="preserve"> HYPERLINK \l _Toc12812 </w:instrText>
      </w:r>
      <w:r>
        <w:rPr>
          <w:rFonts w:hint="eastAsia" w:ascii="宋体" w:hAnsi="宋体" w:eastAsia="宋体" w:cs="宋体"/>
          <w:b/>
          <w:bCs w:val="0"/>
          <w:i w:val="0"/>
          <w:iCs w:val="0"/>
          <w:caps w:val="0"/>
          <w:spacing w:val="0"/>
          <w:kern w:val="0"/>
          <w:sz w:val="24"/>
          <w:szCs w:val="24"/>
          <w:lang w:val="en-US" w:eastAsia="zh-CN" w:bidi="ar"/>
        </w:rPr>
        <w:fldChar w:fldCharType="separate"/>
      </w:r>
      <w:r>
        <w:rPr>
          <w:rFonts w:hint="eastAsia" w:ascii="宋体" w:hAnsi="宋体" w:eastAsia="宋体" w:cs="宋体"/>
          <w:b/>
          <w:bCs w:val="0"/>
          <w:kern w:val="2"/>
          <w:sz w:val="24"/>
          <w:szCs w:val="24"/>
          <w:lang w:val="en-US" w:eastAsia="zh" w:bidi="ar"/>
        </w:rPr>
        <w:t>三、综合评价情况及评价结论</w:t>
      </w:r>
      <w:r>
        <w:rPr>
          <w:rFonts w:hint="eastAsia" w:ascii="宋体" w:hAnsi="宋体" w:eastAsia="宋体" w:cs="宋体"/>
          <w:b/>
          <w:bCs w:val="0"/>
          <w:sz w:val="24"/>
          <w:szCs w:val="24"/>
        </w:rPr>
        <w:tab/>
      </w:r>
      <w:r>
        <w:rPr>
          <w:rFonts w:hint="eastAsia" w:ascii="宋体" w:hAnsi="宋体" w:eastAsia="宋体" w:cs="宋体"/>
          <w:b/>
          <w:bCs w:val="0"/>
          <w:sz w:val="24"/>
          <w:szCs w:val="24"/>
        </w:rPr>
        <w:fldChar w:fldCharType="begin"/>
      </w:r>
      <w:r>
        <w:rPr>
          <w:rFonts w:hint="eastAsia" w:ascii="宋体" w:hAnsi="宋体" w:eastAsia="宋体" w:cs="宋体"/>
          <w:b/>
          <w:bCs w:val="0"/>
          <w:sz w:val="24"/>
          <w:szCs w:val="24"/>
        </w:rPr>
        <w:instrText xml:space="preserve"> PAGEREF _Toc12812 \h </w:instrText>
      </w:r>
      <w:r>
        <w:rPr>
          <w:rFonts w:hint="eastAsia" w:ascii="宋体" w:hAnsi="宋体" w:eastAsia="宋体" w:cs="宋体"/>
          <w:b/>
          <w:bCs w:val="0"/>
          <w:sz w:val="24"/>
          <w:szCs w:val="24"/>
        </w:rPr>
        <w:fldChar w:fldCharType="separate"/>
      </w:r>
      <w:r>
        <w:rPr>
          <w:rFonts w:hint="eastAsia" w:ascii="宋体" w:hAnsi="宋体" w:eastAsia="宋体" w:cs="宋体"/>
          <w:b/>
          <w:bCs w:val="0"/>
          <w:sz w:val="24"/>
          <w:szCs w:val="24"/>
        </w:rPr>
        <w:t>8</w:t>
      </w:r>
      <w:r>
        <w:rPr>
          <w:rFonts w:hint="eastAsia" w:ascii="宋体" w:hAnsi="宋体" w:eastAsia="宋体" w:cs="宋体"/>
          <w:b/>
          <w:bCs w:val="0"/>
          <w:sz w:val="24"/>
          <w:szCs w:val="24"/>
        </w:rPr>
        <w:fldChar w:fldCharType="end"/>
      </w:r>
      <w:r>
        <w:rPr>
          <w:rFonts w:hint="eastAsia" w:ascii="宋体" w:hAnsi="宋体" w:eastAsia="宋体" w:cs="宋体"/>
          <w:b/>
          <w:bCs w:val="0"/>
          <w:i w:val="0"/>
          <w:iCs w:val="0"/>
          <w:caps w:val="0"/>
          <w:color w:val="000000"/>
          <w:spacing w:val="0"/>
          <w:kern w:val="0"/>
          <w:sz w:val="24"/>
          <w:szCs w:val="24"/>
          <w:lang w:val="en-US" w:eastAsia="zh-CN" w:bidi="ar"/>
        </w:rPr>
        <w:fldChar w:fldCharType="end"/>
      </w:r>
    </w:p>
    <w:p w14:paraId="47225917">
      <w:pPr>
        <w:pStyle w:val="7"/>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val="0"/>
          <w:i w:val="0"/>
          <w:iCs w:val="0"/>
          <w:caps w:val="0"/>
          <w:color w:val="000000"/>
          <w:spacing w:val="0"/>
          <w:kern w:val="0"/>
          <w:sz w:val="24"/>
          <w:szCs w:val="24"/>
          <w:lang w:val="en-US" w:eastAsia="zh-CN" w:bidi="ar"/>
        </w:rPr>
        <w:fldChar w:fldCharType="begin"/>
      </w:r>
      <w:r>
        <w:rPr>
          <w:rFonts w:hint="eastAsia" w:ascii="宋体" w:hAnsi="宋体" w:eastAsia="宋体" w:cs="宋体"/>
          <w:b/>
          <w:bCs w:val="0"/>
          <w:i w:val="0"/>
          <w:iCs w:val="0"/>
          <w:caps w:val="0"/>
          <w:spacing w:val="0"/>
          <w:kern w:val="0"/>
          <w:sz w:val="24"/>
          <w:szCs w:val="24"/>
          <w:lang w:val="en-US" w:eastAsia="zh-CN" w:bidi="ar"/>
        </w:rPr>
        <w:instrText xml:space="preserve"> HYPERLINK \l _Toc25122 </w:instrText>
      </w:r>
      <w:r>
        <w:rPr>
          <w:rFonts w:hint="eastAsia" w:ascii="宋体" w:hAnsi="宋体" w:eastAsia="宋体" w:cs="宋体"/>
          <w:b/>
          <w:bCs w:val="0"/>
          <w:i w:val="0"/>
          <w:iCs w:val="0"/>
          <w:caps w:val="0"/>
          <w:spacing w:val="0"/>
          <w:kern w:val="0"/>
          <w:sz w:val="24"/>
          <w:szCs w:val="24"/>
          <w:lang w:val="en-US" w:eastAsia="zh-CN" w:bidi="ar"/>
        </w:rPr>
        <w:fldChar w:fldCharType="separate"/>
      </w:r>
      <w:r>
        <w:rPr>
          <w:rFonts w:hint="eastAsia" w:ascii="宋体" w:hAnsi="宋体" w:eastAsia="宋体" w:cs="宋体"/>
          <w:b/>
          <w:bCs w:val="0"/>
          <w:kern w:val="2"/>
          <w:sz w:val="24"/>
          <w:szCs w:val="24"/>
          <w:lang w:val="en" w:eastAsia="zh" w:bidi="ar"/>
        </w:rPr>
        <w:t>四、绩效评价指标分析</w:t>
      </w:r>
      <w:r>
        <w:rPr>
          <w:rFonts w:hint="eastAsia" w:ascii="宋体" w:hAnsi="宋体" w:eastAsia="宋体" w:cs="宋体"/>
          <w:b/>
          <w:bCs w:val="0"/>
          <w:sz w:val="24"/>
          <w:szCs w:val="24"/>
        </w:rPr>
        <w:tab/>
      </w:r>
      <w:r>
        <w:rPr>
          <w:rFonts w:hint="eastAsia" w:ascii="宋体" w:hAnsi="宋体" w:eastAsia="宋体" w:cs="宋体"/>
          <w:b/>
          <w:bCs w:val="0"/>
          <w:sz w:val="24"/>
          <w:szCs w:val="24"/>
        </w:rPr>
        <w:fldChar w:fldCharType="begin"/>
      </w:r>
      <w:r>
        <w:rPr>
          <w:rFonts w:hint="eastAsia" w:ascii="宋体" w:hAnsi="宋体" w:eastAsia="宋体" w:cs="宋体"/>
          <w:b/>
          <w:bCs w:val="0"/>
          <w:sz w:val="24"/>
          <w:szCs w:val="24"/>
        </w:rPr>
        <w:instrText xml:space="preserve"> PAGEREF _Toc25122 \h </w:instrText>
      </w:r>
      <w:r>
        <w:rPr>
          <w:rFonts w:hint="eastAsia" w:ascii="宋体" w:hAnsi="宋体" w:eastAsia="宋体" w:cs="宋体"/>
          <w:b/>
          <w:bCs w:val="0"/>
          <w:sz w:val="24"/>
          <w:szCs w:val="24"/>
        </w:rPr>
        <w:fldChar w:fldCharType="separate"/>
      </w:r>
      <w:r>
        <w:rPr>
          <w:rFonts w:hint="eastAsia" w:ascii="宋体" w:hAnsi="宋体" w:eastAsia="宋体" w:cs="宋体"/>
          <w:b/>
          <w:bCs w:val="0"/>
          <w:sz w:val="24"/>
          <w:szCs w:val="24"/>
        </w:rPr>
        <w:t>9</w:t>
      </w:r>
      <w:r>
        <w:rPr>
          <w:rFonts w:hint="eastAsia" w:ascii="宋体" w:hAnsi="宋体" w:eastAsia="宋体" w:cs="宋体"/>
          <w:b/>
          <w:bCs w:val="0"/>
          <w:sz w:val="24"/>
          <w:szCs w:val="24"/>
        </w:rPr>
        <w:fldChar w:fldCharType="end"/>
      </w:r>
      <w:r>
        <w:rPr>
          <w:rFonts w:hint="eastAsia" w:ascii="宋体" w:hAnsi="宋体" w:eastAsia="宋体" w:cs="宋体"/>
          <w:b/>
          <w:bCs w:val="0"/>
          <w:i w:val="0"/>
          <w:iCs w:val="0"/>
          <w:caps w:val="0"/>
          <w:color w:val="000000"/>
          <w:spacing w:val="0"/>
          <w:kern w:val="0"/>
          <w:sz w:val="24"/>
          <w:szCs w:val="24"/>
          <w:lang w:val="en-US" w:eastAsia="zh-CN" w:bidi="ar"/>
        </w:rPr>
        <w:fldChar w:fldCharType="end"/>
      </w:r>
    </w:p>
    <w:p w14:paraId="65503488">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_Toc9450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 w:eastAsia="zh-CN" w:bidi="ar"/>
        </w:rPr>
        <w:t>（一）项目</w:t>
      </w:r>
      <w:r>
        <w:rPr>
          <w:rFonts w:hint="eastAsia" w:ascii="宋体" w:hAnsi="宋体" w:eastAsia="宋体" w:cs="宋体"/>
          <w:bCs/>
          <w:kern w:val="2"/>
          <w:sz w:val="24"/>
          <w:szCs w:val="24"/>
          <w:lang w:val="en-US" w:eastAsia="zh-CN" w:bidi="ar"/>
        </w:rPr>
        <w:t>投入</w:t>
      </w:r>
      <w:r>
        <w:rPr>
          <w:rFonts w:hint="eastAsia" w:ascii="宋体" w:hAnsi="宋体" w:eastAsia="宋体" w:cs="宋体"/>
          <w:bCs/>
          <w:kern w:val="2"/>
          <w:sz w:val="24"/>
          <w:szCs w:val="24"/>
          <w:lang w:val="en" w:eastAsia="zh-CN" w:bidi="ar"/>
        </w:rPr>
        <w:t>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_Toc9450 \h </w:instrText>
      </w:r>
      <w:r>
        <w:rPr>
          <w:rFonts w:hint="eastAsia" w:ascii="宋体" w:hAnsi="宋体" w:eastAsia="宋体" w:cs="宋体"/>
          <w:sz w:val="24"/>
          <w:szCs w:val="24"/>
        </w:rPr>
        <w:fldChar w:fldCharType="separate"/>
      </w:r>
      <w:r>
        <w:rPr>
          <w:rFonts w:hint="eastAsia" w:ascii="宋体" w:hAnsi="宋体" w:eastAsia="宋体" w:cs="宋体"/>
          <w:sz w:val="24"/>
          <w:szCs w:val="24"/>
        </w:rPr>
        <w:t>9</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6C09F43F">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_Toc31014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 w:eastAsia="zh-CN" w:bidi="ar"/>
        </w:rPr>
        <w:t>（</w:t>
      </w:r>
      <w:r>
        <w:rPr>
          <w:rFonts w:hint="eastAsia" w:ascii="宋体" w:hAnsi="宋体" w:eastAsia="宋体" w:cs="宋体"/>
          <w:bCs/>
          <w:kern w:val="2"/>
          <w:sz w:val="24"/>
          <w:szCs w:val="24"/>
          <w:lang w:val="en-US" w:eastAsia="zh-CN" w:bidi="ar"/>
        </w:rPr>
        <w:t>二）</w:t>
      </w:r>
      <w:r>
        <w:rPr>
          <w:rFonts w:hint="eastAsia" w:ascii="宋体" w:hAnsi="宋体" w:eastAsia="宋体" w:cs="宋体"/>
          <w:bCs/>
          <w:kern w:val="2"/>
          <w:sz w:val="24"/>
          <w:szCs w:val="24"/>
          <w:lang w:val="en" w:eastAsia="zh-CN" w:bidi="ar"/>
        </w:rPr>
        <w:t>项目</w:t>
      </w:r>
      <w:r>
        <w:rPr>
          <w:rFonts w:hint="eastAsia" w:ascii="宋体" w:hAnsi="宋体" w:eastAsia="宋体" w:cs="宋体"/>
          <w:bCs/>
          <w:kern w:val="2"/>
          <w:sz w:val="24"/>
          <w:szCs w:val="24"/>
          <w:lang w:val="en-US" w:eastAsia="zh-CN" w:bidi="ar"/>
        </w:rPr>
        <w:t>过程</w:t>
      </w:r>
      <w:r>
        <w:rPr>
          <w:rFonts w:hint="eastAsia" w:ascii="宋体" w:hAnsi="宋体" w:eastAsia="宋体" w:cs="宋体"/>
          <w:bCs/>
          <w:kern w:val="2"/>
          <w:sz w:val="24"/>
          <w:szCs w:val="24"/>
          <w:lang w:val="en" w:eastAsia="zh-CN" w:bidi="ar"/>
        </w:rPr>
        <w:t>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_Toc31014 \h </w:instrText>
      </w:r>
      <w:r>
        <w:rPr>
          <w:rFonts w:hint="eastAsia" w:ascii="宋体" w:hAnsi="宋体" w:eastAsia="宋体" w:cs="宋体"/>
          <w:sz w:val="24"/>
          <w:szCs w:val="24"/>
        </w:rPr>
        <w:fldChar w:fldCharType="separate"/>
      </w:r>
      <w:r>
        <w:rPr>
          <w:rFonts w:hint="eastAsia" w:ascii="宋体" w:hAnsi="宋体" w:eastAsia="宋体" w:cs="宋体"/>
          <w:sz w:val="24"/>
          <w:szCs w:val="24"/>
        </w:rPr>
        <w:t>10</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1C0BB03F">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_Toc9641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 w:eastAsia="zh-CN" w:bidi="ar"/>
        </w:rPr>
        <w:t>（</w:t>
      </w:r>
      <w:r>
        <w:rPr>
          <w:rFonts w:hint="eastAsia" w:ascii="宋体" w:hAnsi="宋体" w:eastAsia="宋体" w:cs="宋体"/>
          <w:bCs/>
          <w:kern w:val="2"/>
          <w:sz w:val="24"/>
          <w:szCs w:val="24"/>
          <w:lang w:val="en-US" w:eastAsia="zh-CN" w:bidi="ar"/>
        </w:rPr>
        <w:t>三）</w:t>
      </w:r>
      <w:r>
        <w:rPr>
          <w:rFonts w:hint="eastAsia" w:ascii="宋体" w:hAnsi="宋体" w:eastAsia="宋体" w:cs="宋体"/>
          <w:bCs/>
          <w:kern w:val="2"/>
          <w:sz w:val="24"/>
          <w:szCs w:val="24"/>
          <w:lang w:val="en" w:eastAsia="zh-CN" w:bidi="ar"/>
        </w:rPr>
        <w:t>项目产出情况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_Toc9641 \h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613A2A04">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_Toc26538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 w:bidi="ar"/>
        </w:rPr>
        <w:t>（</w:t>
      </w:r>
      <w:r>
        <w:rPr>
          <w:rFonts w:hint="eastAsia" w:ascii="宋体" w:hAnsi="宋体" w:eastAsia="宋体" w:cs="宋体"/>
          <w:bCs/>
          <w:kern w:val="2"/>
          <w:sz w:val="24"/>
          <w:szCs w:val="24"/>
          <w:lang w:val="en-US" w:eastAsia="zh-CN" w:bidi="ar"/>
        </w:rPr>
        <w:t>四）部门效益情况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_Toc26538 \h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5668A7CD">
      <w:pPr>
        <w:pStyle w:val="7"/>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
          <w:bCs w:val="0"/>
          <w:i w:val="0"/>
          <w:iCs w:val="0"/>
          <w:caps w:val="0"/>
          <w:color w:val="000000"/>
          <w:spacing w:val="0"/>
          <w:kern w:val="0"/>
          <w:sz w:val="24"/>
          <w:szCs w:val="24"/>
          <w:lang w:val="en-US" w:eastAsia="zh-CN" w:bidi="ar"/>
        </w:rPr>
        <w:fldChar w:fldCharType="begin"/>
      </w:r>
      <w:r>
        <w:rPr>
          <w:rFonts w:hint="eastAsia" w:ascii="宋体" w:hAnsi="宋体" w:eastAsia="宋体" w:cs="宋体"/>
          <w:b/>
          <w:bCs w:val="0"/>
          <w:i w:val="0"/>
          <w:iCs w:val="0"/>
          <w:caps w:val="0"/>
          <w:spacing w:val="0"/>
          <w:kern w:val="0"/>
          <w:sz w:val="24"/>
          <w:szCs w:val="24"/>
          <w:lang w:val="en-US" w:eastAsia="zh-CN" w:bidi="ar"/>
        </w:rPr>
        <w:instrText xml:space="preserve"> HYPERLINK \l _Toc16759 </w:instrText>
      </w:r>
      <w:r>
        <w:rPr>
          <w:rFonts w:hint="eastAsia" w:ascii="宋体" w:hAnsi="宋体" w:eastAsia="宋体" w:cs="宋体"/>
          <w:b/>
          <w:bCs w:val="0"/>
          <w:i w:val="0"/>
          <w:iCs w:val="0"/>
          <w:caps w:val="0"/>
          <w:spacing w:val="0"/>
          <w:kern w:val="0"/>
          <w:sz w:val="24"/>
          <w:szCs w:val="24"/>
          <w:lang w:val="en-US" w:eastAsia="zh-CN" w:bidi="ar"/>
        </w:rPr>
        <w:fldChar w:fldCharType="separate"/>
      </w:r>
      <w:r>
        <w:rPr>
          <w:rFonts w:hint="eastAsia" w:ascii="宋体" w:hAnsi="宋体" w:eastAsia="宋体" w:cs="宋体"/>
          <w:b/>
          <w:bCs w:val="0"/>
          <w:kern w:val="2"/>
          <w:sz w:val="24"/>
          <w:szCs w:val="24"/>
          <w:lang w:val="en-US" w:eastAsia="zh" w:bidi="ar"/>
        </w:rPr>
        <w:t>五、主要问题分析</w:t>
      </w:r>
      <w:r>
        <w:rPr>
          <w:rFonts w:hint="eastAsia" w:ascii="宋体" w:hAnsi="宋体" w:eastAsia="宋体" w:cs="宋体"/>
          <w:b/>
          <w:bCs w:val="0"/>
          <w:sz w:val="24"/>
          <w:szCs w:val="24"/>
        </w:rPr>
        <w:tab/>
      </w:r>
      <w:r>
        <w:rPr>
          <w:rFonts w:hint="eastAsia" w:ascii="宋体" w:hAnsi="宋体" w:eastAsia="宋体" w:cs="宋体"/>
          <w:b/>
          <w:bCs w:val="0"/>
          <w:sz w:val="24"/>
          <w:szCs w:val="24"/>
        </w:rPr>
        <w:fldChar w:fldCharType="begin"/>
      </w:r>
      <w:r>
        <w:rPr>
          <w:rFonts w:hint="eastAsia" w:ascii="宋体" w:hAnsi="宋体" w:eastAsia="宋体" w:cs="宋体"/>
          <w:b/>
          <w:bCs w:val="0"/>
          <w:sz w:val="24"/>
          <w:szCs w:val="24"/>
        </w:rPr>
        <w:instrText xml:space="preserve"> PAGEREF _Toc16759 \h </w:instrText>
      </w:r>
      <w:r>
        <w:rPr>
          <w:rFonts w:hint="eastAsia" w:ascii="宋体" w:hAnsi="宋体" w:eastAsia="宋体" w:cs="宋体"/>
          <w:b/>
          <w:bCs w:val="0"/>
          <w:sz w:val="24"/>
          <w:szCs w:val="24"/>
        </w:rPr>
        <w:fldChar w:fldCharType="separate"/>
      </w:r>
      <w:r>
        <w:rPr>
          <w:rFonts w:hint="eastAsia" w:ascii="宋体" w:hAnsi="宋体" w:eastAsia="宋体" w:cs="宋体"/>
          <w:b/>
          <w:bCs w:val="0"/>
          <w:sz w:val="24"/>
          <w:szCs w:val="24"/>
        </w:rPr>
        <w:t>15</w:t>
      </w:r>
      <w:r>
        <w:rPr>
          <w:rFonts w:hint="eastAsia" w:ascii="宋体" w:hAnsi="宋体" w:eastAsia="宋体" w:cs="宋体"/>
          <w:b/>
          <w:bCs w:val="0"/>
          <w:sz w:val="24"/>
          <w:szCs w:val="24"/>
        </w:rPr>
        <w:fldChar w:fldCharType="end"/>
      </w:r>
      <w:r>
        <w:rPr>
          <w:rFonts w:hint="eastAsia" w:ascii="宋体" w:hAnsi="宋体" w:eastAsia="宋体" w:cs="宋体"/>
          <w:b/>
          <w:bCs w:val="0"/>
          <w:i w:val="0"/>
          <w:iCs w:val="0"/>
          <w:caps w:val="0"/>
          <w:color w:val="000000"/>
          <w:spacing w:val="0"/>
          <w:kern w:val="0"/>
          <w:sz w:val="24"/>
          <w:szCs w:val="24"/>
          <w:lang w:val="en-US" w:eastAsia="zh-CN" w:bidi="ar"/>
        </w:rPr>
        <w:fldChar w:fldCharType="end"/>
      </w:r>
    </w:p>
    <w:p w14:paraId="2A26640D">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_Toc12627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CN" w:bidi="ar"/>
        </w:rPr>
        <w:t>（一）</w:t>
      </w:r>
      <w:r>
        <w:rPr>
          <w:rFonts w:hint="eastAsia" w:ascii="宋体" w:hAnsi="宋体" w:eastAsia="宋体" w:cs="宋体"/>
          <w:bCs/>
          <w:kern w:val="2"/>
          <w:sz w:val="24"/>
          <w:szCs w:val="24"/>
          <w:lang w:val="en-US" w:eastAsia="zh" w:bidi="ar"/>
        </w:rPr>
        <w:t>绩效目标与预算资金</w:t>
      </w:r>
      <w:r>
        <w:rPr>
          <w:rFonts w:hint="eastAsia" w:ascii="宋体" w:hAnsi="宋体" w:eastAsia="宋体" w:cs="宋体"/>
          <w:bCs/>
          <w:kern w:val="2"/>
          <w:sz w:val="24"/>
          <w:szCs w:val="24"/>
          <w:lang w:val="en-US" w:eastAsia="zh-CN" w:bidi="ar"/>
        </w:rPr>
        <w:t>不匹配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_Toc12627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5AF44704">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_Toc5097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CN" w:bidi="ar"/>
        </w:rPr>
        <w:t>（二）存在超编现象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_Toc5097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34474E6F">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_Toc6101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CN" w:bidi="ar"/>
        </w:rPr>
        <w:t>（三）</w:t>
      </w:r>
      <w:r>
        <w:rPr>
          <w:rFonts w:hint="eastAsia" w:ascii="宋体" w:hAnsi="宋体" w:eastAsia="宋体" w:cs="宋体"/>
          <w:bCs/>
          <w:kern w:val="2"/>
          <w:sz w:val="24"/>
          <w:szCs w:val="24"/>
          <w:lang w:val="en-US" w:eastAsia="zh" w:bidi="ar"/>
        </w:rPr>
        <w:t>“三公经费”变动率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_Toc6101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0EFECEAC">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_Toc627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CN" w:bidi="ar"/>
        </w:rPr>
        <w:t>（四）</w:t>
      </w:r>
      <w:r>
        <w:rPr>
          <w:rFonts w:hint="eastAsia" w:ascii="宋体" w:hAnsi="宋体" w:eastAsia="宋体" w:cs="宋体"/>
          <w:bCs/>
          <w:kern w:val="2"/>
          <w:sz w:val="24"/>
          <w:szCs w:val="24"/>
          <w:lang w:val="en-US" w:eastAsia="zh" w:bidi="ar"/>
        </w:rPr>
        <w:t>预算</w:t>
      </w:r>
      <w:r>
        <w:rPr>
          <w:rFonts w:hint="eastAsia" w:ascii="宋体" w:hAnsi="宋体" w:eastAsia="宋体" w:cs="宋体"/>
          <w:bCs/>
          <w:kern w:val="2"/>
          <w:sz w:val="24"/>
          <w:szCs w:val="24"/>
          <w:lang w:val="en-US" w:eastAsia="zh-CN" w:bidi="ar"/>
        </w:rPr>
        <w:t>编制不准确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_Toc627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024D542F">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_Toc13095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CN" w:bidi="ar"/>
        </w:rPr>
        <w:t>（五）</w:t>
      </w:r>
      <w:r>
        <w:rPr>
          <w:rFonts w:hint="eastAsia" w:ascii="宋体" w:hAnsi="宋体" w:eastAsia="宋体" w:cs="宋体"/>
          <w:bCs/>
          <w:kern w:val="2"/>
          <w:sz w:val="24"/>
          <w:szCs w:val="24"/>
          <w:lang w:val="en-US" w:eastAsia="zh" w:bidi="ar"/>
        </w:rPr>
        <w:t>政府采购</w:t>
      </w:r>
      <w:r>
        <w:rPr>
          <w:rFonts w:hint="eastAsia" w:ascii="宋体" w:hAnsi="宋体" w:eastAsia="宋体" w:cs="宋体"/>
          <w:bCs/>
          <w:kern w:val="2"/>
          <w:sz w:val="24"/>
          <w:szCs w:val="24"/>
          <w:lang w:val="en-US" w:eastAsia="zh-CN" w:bidi="ar"/>
        </w:rPr>
        <w:t>预算编制不完整</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_Toc13095 \h </w:instrText>
      </w:r>
      <w:r>
        <w:rPr>
          <w:rFonts w:hint="eastAsia" w:ascii="宋体" w:hAnsi="宋体" w:eastAsia="宋体" w:cs="宋体"/>
          <w:sz w:val="24"/>
          <w:szCs w:val="24"/>
        </w:rPr>
        <w:fldChar w:fldCharType="separate"/>
      </w:r>
      <w:r>
        <w:rPr>
          <w:rFonts w:hint="eastAsia" w:ascii="宋体" w:hAnsi="宋体" w:eastAsia="宋体" w:cs="宋体"/>
          <w:sz w:val="24"/>
          <w:szCs w:val="24"/>
        </w:rPr>
        <w:t>15</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4876FB8D">
      <w:pPr>
        <w:pStyle w:val="7"/>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i w:val="0"/>
          <w:iCs w:val="0"/>
          <w:caps w:val="0"/>
          <w:color w:val="000000"/>
          <w:spacing w:val="0"/>
          <w:kern w:val="0"/>
          <w:sz w:val="24"/>
          <w:szCs w:val="24"/>
          <w:lang w:val="en-US" w:eastAsia="zh-CN" w:bidi="ar"/>
        </w:rPr>
        <w:fldChar w:fldCharType="begin"/>
      </w:r>
      <w:r>
        <w:rPr>
          <w:rFonts w:hint="eastAsia" w:ascii="宋体" w:hAnsi="宋体" w:eastAsia="宋体" w:cs="宋体"/>
          <w:b/>
          <w:bCs w:val="0"/>
          <w:i w:val="0"/>
          <w:iCs w:val="0"/>
          <w:caps w:val="0"/>
          <w:spacing w:val="0"/>
          <w:kern w:val="0"/>
          <w:sz w:val="24"/>
          <w:szCs w:val="24"/>
          <w:lang w:val="en-US" w:eastAsia="zh-CN" w:bidi="ar"/>
        </w:rPr>
        <w:instrText xml:space="preserve"> HYPERLINK \l _Toc5205 </w:instrText>
      </w:r>
      <w:r>
        <w:rPr>
          <w:rFonts w:hint="eastAsia" w:ascii="宋体" w:hAnsi="宋体" w:eastAsia="宋体" w:cs="宋体"/>
          <w:b/>
          <w:bCs w:val="0"/>
          <w:i w:val="0"/>
          <w:iCs w:val="0"/>
          <w:caps w:val="0"/>
          <w:spacing w:val="0"/>
          <w:kern w:val="0"/>
          <w:sz w:val="24"/>
          <w:szCs w:val="24"/>
          <w:lang w:val="en-US" w:eastAsia="zh-CN" w:bidi="ar"/>
        </w:rPr>
        <w:fldChar w:fldCharType="separate"/>
      </w:r>
      <w:r>
        <w:rPr>
          <w:rFonts w:hint="eastAsia" w:ascii="宋体" w:hAnsi="宋体" w:eastAsia="宋体" w:cs="宋体"/>
          <w:b/>
          <w:bCs w:val="0"/>
          <w:kern w:val="2"/>
          <w:sz w:val="24"/>
          <w:szCs w:val="24"/>
          <w:lang w:val="en-US" w:eastAsia="zh" w:bidi="ar"/>
        </w:rPr>
        <w:t>六、相关建议</w:t>
      </w:r>
      <w:r>
        <w:rPr>
          <w:rFonts w:hint="eastAsia" w:ascii="宋体" w:hAnsi="宋体" w:eastAsia="宋体" w:cs="宋体"/>
          <w:b/>
          <w:bCs w:val="0"/>
          <w:sz w:val="24"/>
          <w:szCs w:val="24"/>
        </w:rPr>
        <w:tab/>
      </w:r>
      <w:r>
        <w:rPr>
          <w:rFonts w:hint="eastAsia" w:ascii="宋体" w:hAnsi="宋体" w:eastAsia="宋体" w:cs="宋体"/>
          <w:b/>
          <w:bCs w:val="0"/>
          <w:sz w:val="24"/>
          <w:szCs w:val="24"/>
        </w:rPr>
        <w:fldChar w:fldCharType="begin"/>
      </w:r>
      <w:r>
        <w:rPr>
          <w:rFonts w:hint="eastAsia" w:ascii="宋体" w:hAnsi="宋体" w:eastAsia="宋体" w:cs="宋体"/>
          <w:b/>
          <w:bCs w:val="0"/>
          <w:sz w:val="24"/>
          <w:szCs w:val="24"/>
        </w:rPr>
        <w:instrText xml:space="preserve"> PAGEREF _Toc5205 \h </w:instrText>
      </w:r>
      <w:r>
        <w:rPr>
          <w:rFonts w:hint="eastAsia" w:ascii="宋体" w:hAnsi="宋体" w:eastAsia="宋体" w:cs="宋体"/>
          <w:b/>
          <w:bCs w:val="0"/>
          <w:sz w:val="24"/>
          <w:szCs w:val="24"/>
        </w:rPr>
        <w:fldChar w:fldCharType="separate"/>
      </w:r>
      <w:r>
        <w:rPr>
          <w:rFonts w:hint="eastAsia" w:ascii="宋体" w:hAnsi="宋体" w:eastAsia="宋体" w:cs="宋体"/>
          <w:b/>
          <w:bCs w:val="0"/>
          <w:sz w:val="24"/>
          <w:szCs w:val="24"/>
        </w:rPr>
        <w:t>16</w:t>
      </w:r>
      <w:r>
        <w:rPr>
          <w:rFonts w:hint="eastAsia" w:ascii="宋体" w:hAnsi="宋体" w:eastAsia="宋体" w:cs="宋体"/>
          <w:b/>
          <w:bCs w:val="0"/>
          <w:sz w:val="24"/>
          <w:szCs w:val="24"/>
        </w:rPr>
        <w:fldChar w:fldCharType="end"/>
      </w:r>
      <w:r>
        <w:rPr>
          <w:rFonts w:hint="eastAsia" w:ascii="宋体" w:hAnsi="宋体" w:eastAsia="宋体" w:cs="宋体"/>
          <w:b/>
          <w:bCs w:val="0"/>
          <w:i w:val="0"/>
          <w:iCs w:val="0"/>
          <w:caps w:val="0"/>
          <w:color w:val="000000"/>
          <w:spacing w:val="0"/>
          <w:kern w:val="0"/>
          <w:sz w:val="24"/>
          <w:szCs w:val="24"/>
          <w:lang w:val="en-US" w:eastAsia="zh-CN" w:bidi="ar"/>
        </w:rPr>
        <w:fldChar w:fldCharType="end"/>
      </w:r>
    </w:p>
    <w:p w14:paraId="0ADC8C06">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_Toc2076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CN" w:bidi="ar"/>
        </w:rPr>
        <w:t>（一）</w:t>
      </w:r>
      <w:r>
        <w:rPr>
          <w:rFonts w:hint="eastAsia" w:ascii="宋体" w:hAnsi="宋体" w:eastAsia="宋体" w:cs="宋体"/>
          <w:bCs/>
          <w:kern w:val="2"/>
          <w:sz w:val="24"/>
          <w:szCs w:val="24"/>
          <w:lang w:val="en-US" w:eastAsia="zh" w:bidi="ar"/>
        </w:rPr>
        <w:t>绩效目标与预算资金匹配性方面</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_Toc2076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13411AF5">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_Toc21316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CN" w:bidi="ar"/>
        </w:rPr>
        <w:t>（二）人员编制方面</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_Toc21316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17FC35AE">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_Toc30977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CN" w:bidi="ar"/>
        </w:rPr>
        <w:t>（三）</w:t>
      </w:r>
      <w:r>
        <w:rPr>
          <w:rFonts w:hint="eastAsia" w:ascii="宋体" w:hAnsi="宋体" w:eastAsia="宋体" w:cs="宋体"/>
          <w:bCs/>
          <w:kern w:val="2"/>
          <w:sz w:val="24"/>
          <w:szCs w:val="24"/>
          <w:lang w:val="en-US" w:eastAsia="zh" w:bidi="ar"/>
        </w:rPr>
        <w:t>“三公经费”变动率方面</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_Toc30977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148BA395">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_Toc16928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CN" w:bidi="ar"/>
        </w:rPr>
        <w:t>（四）</w:t>
      </w:r>
      <w:r>
        <w:rPr>
          <w:rFonts w:hint="eastAsia" w:ascii="宋体" w:hAnsi="宋体" w:eastAsia="宋体" w:cs="宋体"/>
          <w:bCs/>
          <w:kern w:val="2"/>
          <w:sz w:val="24"/>
          <w:szCs w:val="24"/>
          <w:lang w:val="en-US" w:eastAsia="zh" w:bidi="ar"/>
        </w:rPr>
        <w:t>预算</w:t>
      </w:r>
      <w:r>
        <w:rPr>
          <w:rFonts w:hint="eastAsia" w:ascii="宋体" w:hAnsi="宋体" w:eastAsia="宋体" w:cs="宋体"/>
          <w:bCs/>
          <w:kern w:val="2"/>
          <w:sz w:val="24"/>
          <w:szCs w:val="24"/>
          <w:lang w:val="en-US" w:eastAsia="zh-CN" w:bidi="ar"/>
        </w:rPr>
        <w:t>编制方面</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_Toc16928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5E4C8C42">
      <w:pPr>
        <w:pStyle w:val="8"/>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i w:val="0"/>
          <w:iCs w:val="0"/>
          <w:caps w:val="0"/>
          <w:color w:val="000000"/>
          <w:spacing w:val="0"/>
          <w:kern w:val="0"/>
          <w:sz w:val="24"/>
          <w:szCs w:val="24"/>
          <w:lang w:val="en-US" w:eastAsia="zh-CN" w:bidi="ar"/>
        </w:rPr>
        <w:fldChar w:fldCharType="begin"/>
      </w:r>
      <w:r>
        <w:rPr>
          <w:rFonts w:hint="eastAsia" w:ascii="宋体" w:hAnsi="宋体" w:eastAsia="宋体" w:cs="宋体"/>
          <w:bCs/>
          <w:i w:val="0"/>
          <w:iCs w:val="0"/>
          <w:caps w:val="0"/>
          <w:spacing w:val="0"/>
          <w:kern w:val="0"/>
          <w:sz w:val="24"/>
          <w:szCs w:val="24"/>
          <w:lang w:val="en-US" w:eastAsia="zh-CN" w:bidi="ar"/>
        </w:rPr>
        <w:instrText xml:space="preserve"> HYPERLINK \l _Toc2032 </w:instrText>
      </w:r>
      <w:r>
        <w:rPr>
          <w:rFonts w:hint="eastAsia" w:ascii="宋体" w:hAnsi="宋体" w:eastAsia="宋体" w:cs="宋体"/>
          <w:bCs/>
          <w:i w:val="0"/>
          <w:iCs w:val="0"/>
          <w:caps w:val="0"/>
          <w:spacing w:val="0"/>
          <w:kern w:val="0"/>
          <w:sz w:val="24"/>
          <w:szCs w:val="24"/>
          <w:lang w:val="en-US" w:eastAsia="zh-CN" w:bidi="ar"/>
        </w:rPr>
        <w:fldChar w:fldCharType="separate"/>
      </w:r>
      <w:r>
        <w:rPr>
          <w:rFonts w:hint="eastAsia" w:ascii="宋体" w:hAnsi="宋体" w:eastAsia="宋体" w:cs="宋体"/>
          <w:bCs/>
          <w:kern w:val="2"/>
          <w:sz w:val="24"/>
          <w:szCs w:val="24"/>
          <w:lang w:val="en-US" w:eastAsia="zh-CN" w:bidi="ar"/>
        </w:rPr>
        <w:t>（五）</w:t>
      </w:r>
      <w:r>
        <w:rPr>
          <w:rFonts w:hint="eastAsia" w:ascii="宋体" w:hAnsi="宋体" w:eastAsia="宋体" w:cs="宋体"/>
          <w:bCs/>
          <w:kern w:val="2"/>
          <w:sz w:val="24"/>
          <w:szCs w:val="24"/>
          <w:lang w:val="en-US" w:eastAsia="zh" w:bidi="ar"/>
        </w:rPr>
        <w:t>政府采购</w:t>
      </w:r>
      <w:r>
        <w:rPr>
          <w:rFonts w:hint="eastAsia" w:ascii="宋体" w:hAnsi="宋体" w:eastAsia="宋体" w:cs="宋体"/>
          <w:bCs/>
          <w:kern w:val="2"/>
          <w:sz w:val="24"/>
          <w:szCs w:val="24"/>
          <w:lang w:val="en-US" w:eastAsia="zh-CN" w:bidi="ar"/>
        </w:rPr>
        <w:t>预算编制方面</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_Toc2032 \h </w:instrText>
      </w:r>
      <w:r>
        <w:rPr>
          <w:rFonts w:hint="eastAsia" w:ascii="宋体" w:hAnsi="宋体" w:eastAsia="宋体" w:cs="宋体"/>
          <w:sz w:val="24"/>
          <w:szCs w:val="24"/>
        </w:rPr>
        <w:fldChar w:fldCharType="separate"/>
      </w:r>
      <w:r>
        <w:rPr>
          <w:rFonts w:hint="eastAsia" w:ascii="宋体" w:hAnsi="宋体" w:eastAsia="宋体" w:cs="宋体"/>
          <w:sz w:val="24"/>
          <w:szCs w:val="24"/>
        </w:rPr>
        <w:t>16</w:t>
      </w:r>
      <w:r>
        <w:rPr>
          <w:rFonts w:hint="eastAsia" w:ascii="宋体" w:hAnsi="宋体" w:eastAsia="宋体" w:cs="宋体"/>
          <w:sz w:val="24"/>
          <w:szCs w:val="24"/>
        </w:rPr>
        <w:fldChar w:fldCharType="end"/>
      </w:r>
      <w:r>
        <w:rPr>
          <w:rFonts w:hint="eastAsia" w:ascii="宋体" w:hAnsi="宋体" w:eastAsia="宋体" w:cs="宋体"/>
          <w:bCs/>
          <w:i w:val="0"/>
          <w:iCs w:val="0"/>
          <w:caps w:val="0"/>
          <w:color w:val="000000"/>
          <w:spacing w:val="0"/>
          <w:kern w:val="0"/>
          <w:sz w:val="24"/>
          <w:szCs w:val="24"/>
          <w:lang w:val="en-US" w:eastAsia="zh-CN" w:bidi="ar"/>
        </w:rPr>
        <w:fldChar w:fldCharType="end"/>
      </w:r>
    </w:p>
    <w:p w14:paraId="2133774C">
      <w:pPr>
        <w:pStyle w:val="7"/>
        <w:keepNext w:val="0"/>
        <w:keepLines w:val="0"/>
        <w:pageBreakBefore w:val="0"/>
        <w:tabs>
          <w:tab w:val="right" w:leader="dot" w:pos="8851"/>
        </w:tabs>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i w:val="0"/>
          <w:iCs w:val="0"/>
          <w:caps w:val="0"/>
          <w:color w:val="000000"/>
          <w:spacing w:val="0"/>
          <w:kern w:val="0"/>
          <w:sz w:val="24"/>
          <w:szCs w:val="24"/>
          <w:lang w:val="en-US" w:eastAsia="zh-CN" w:bidi="ar"/>
        </w:rPr>
        <w:fldChar w:fldCharType="begin"/>
      </w:r>
      <w:r>
        <w:rPr>
          <w:rFonts w:hint="eastAsia" w:ascii="宋体" w:hAnsi="宋体" w:eastAsia="宋体" w:cs="宋体"/>
          <w:b/>
          <w:bCs w:val="0"/>
          <w:i w:val="0"/>
          <w:iCs w:val="0"/>
          <w:caps w:val="0"/>
          <w:spacing w:val="0"/>
          <w:kern w:val="0"/>
          <w:sz w:val="24"/>
          <w:szCs w:val="24"/>
          <w:lang w:val="en-US" w:eastAsia="zh-CN" w:bidi="ar"/>
        </w:rPr>
        <w:instrText xml:space="preserve"> HYPERLINK \l _Toc8807 </w:instrText>
      </w:r>
      <w:r>
        <w:rPr>
          <w:rFonts w:hint="eastAsia" w:ascii="宋体" w:hAnsi="宋体" w:eastAsia="宋体" w:cs="宋体"/>
          <w:b/>
          <w:bCs w:val="0"/>
          <w:i w:val="0"/>
          <w:iCs w:val="0"/>
          <w:caps w:val="0"/>
          <w:spacing w:val="0"/>
          <w:kern w:val="0"/>
          <w:sz w:val="24"/>
          <w:szCs w:val="24"/>
          <w:lang w:val="en-US" w:eastAsia="zh-CN" w:bidi="ar"/>
        </w:rPr>
        <w:fldChar w:fldCharType="separate"/>
      </w:r>
      <w:r>
        <w:rPr>
          <w:rFonts w:hint="eastAsia" w:ascii="宋体" w:hAnsi="宋体" w:eastAsia="宋体" w:cs="宋体"/>
          <w:b/>
          <w:bCs w:val="0"/>
          <w:i w:val="0"/>
          <w:iCs w:val="0"/>
          <w:caps w:val="0"/>
          <w:spacing w:val="0"/>
          <w:kern w:val="0"/>
          <w:sz w:val="24"/>
          <w:szCs w:val="24"/>
          <w:lang w:val="en-US" w:eastAsia="zh-CN" w:bidi="ar"/>
        </w:rPr>
        <w:t>附件：</w:t>
      </w:r>
      <w:r>
        <w:rPr>
          <w:rFonts w:hint="eastAsia" w:ascii="宋体" w:hAnsi="宋体" w:eastAsia="宋体" w:cs="宋体"/>
          <w:b/>
          <w:bCs w:val="0"/>
          <w:kern w:val="2"/>
          <w:sz w:val="24"/>
          <w:szCs w:val="24"/>
          <w:lang w:val="en-US" w:eastAsia="zh-CN" w:bidi="ar"/>
        </w:rPr>
        <w:t>绩效评价指标体系框架打分表</w:t>
      </w:r>
      <w:r>
        <w:rPr>
          <w:rFonts w:hint="eastAsia" w:ascii="宋体" w:hAnsi="宋体" w:eastAsia="宋体" w:cs="宋体"/>
          <w:b/>
          <w:bCs w:val="0"/>
          <w:sz w:val="24"/>
          <w:szCs w:val="24"/>
        </w:rPr>
        <w:tab/>
      </w:r>
      <w:r>
        <w:rPr>
          <w:rFonts w:hint="eastAsia" w:ascii="宋体" w:hAnsi="宋体" w:eastAsia="宋体" w:cs="宋体"/>
          <w:b/>
          <w:bCs w:val="0"/>
          <w:sz w:val="24"/>
          <w:szCs w:val="24"/>
        </w:rPr>
        <w:fldChar w:fldCharType="begin"/>
      </w:r>
      <w:r>
        <w:rPr>
          <w:rFonts w:hint="eastAsia" w:ascii="宋体" w:hAnsi="宋体" w:eastAsia="宋体" w:cs="宋体"/>
          <w:b/>
          <w:bCs w:val="0"/>
          <w:sz w:val="24"/>
          <w:szCs w:val="24"/>
        </w:rPr>
        <w:instrText xml:space="preserve"> PAGEREF _Toc8807 \h </w:instrText>
      </w:r>
      <w:r>
        <w:rPr>
          <w:rFonts w:hint="eastAsia" w:ascii="宋体" w:hAnsi="宋体" w:eastAsia="宋体" w:cs="宋体"/>
          <w:b/>
          <w:bCs w:val="0"/>
          <w:sz w:val="24"/>
          <w:szCs w:val="24"/>
        </w:rPr>
        <w:fldChar w:fldCharType="separate"/>
      </w:r>
      <w:r>
        <w:rPr>
          <w:rFonts w:hint="eastAsia" w:ascii="宋体" w:hAnsi="宋体" w:eastAsia="宋体" w:cs="宋体"/>
          <w:b/>
          <w:bCs w:val="0"/>
          <w:sz w:val="24"/>
          <w:szCs w:val="24"/>
        </w:rPr>
        <w:t>1</w:t>
      </w:r>
      <w:r>
        <w:rPr>
          <w:rFonts w:hint="eastAsia" w:ascii="宋体" w:hAnsi="宋体" w:eastAsia="宋体" w:cs="宋体"/>
          <w:b/>
          <w:bCs w:val="0"/>
          <w:sz w:val="24"/>
          <w:szCs w:val="24"/>
          <w:lang w:val="en-US" w:eastAsia="zh-CN"/>
        </w:rPr>
        <w:t>8</w:t>
      </w:r>
      <w:r>
        <w:rPr>
          <w:rFonts w:hint="eastAsia" w:ascii="宋体" w:hAnsi="宋体" w:eastAsia="宋体" w:cs="宋体"/>
          <w:b/>
          <w:bCs w:val="0"/>
          <w:sz w:val="24"/>
          <w:szCs w:val="24"/>
        </w:rPr>
        <w:fldChar w:fldCharType="end"/>
      </w:r>
      <w:r>
        <w:rPr>
          <w:rFonts w:hint="eastAsia" w:ascii="宋体" w:hAnsi="宋体" w:eastAsia="宋体" w:cs="宋体"/>
          <w:b/>
          <w:bCs w:val="0"/>
          <w:i w:val="0"/>
          <w:iCs w:val="0"/>
          <w:caps w:val="0"/>
          <w:color w:val="000000"/>
          <w:spacing w:val="0"/>
          <w:kern w:val="0"/>
          <w:sz w:val="24"/>
          <w:szCs w:val="24"/>
          <w:lang w:val="en-US" w:eastAsia="zh-CN" w:bidi="ar"/>
        </w:rPr>
        <w:fldChar w:fldCharType="end"/>
      </w:r>
    </w:p>
    <w:p w14:paraId="44AE084E">
      <w:pPr>
        <w:pStyle w:val="9"/>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360" w:lineRule="auto"/>
        <w:ind w:left="0" w:right="0" w:firstLine="0"/>
        <w:jc w:val="both"/>
        <w:textAlignment w:val="auto"/>
        <w:rPr>
          <w:rFonts w:hint="eastAsia" w:ascii="宋体" w:hAnsi="宋体" w:eastAsia="宋体" w:cs="宋体"/>
          <w:b/>
          <w:bCs/>
          <w:i w:val="0"/>
          <w:iCs w:val="0"/>
          <w:caps w:val="0"/>
          <w:color w:val="000000"/>
          <w:spacing w:val="0"/>
          <w:kern w:val="0"/>
          <w:sz w:val="24"/>
          <w:szCs w:val="28"/>
          <w:lang w:val="en-US" w:eastAsia="zh-CN" w:bidi="ar"/>
        </w:rPr>
        <w:sectPr>
          <w:footerReference r:id="rId5" w:type="default"/>
          <w:pgSz w:w="11906" w:h="16838"/>
          <w:pgMar w:top="1497" w:right="1417" w:bottom="1106" w:left="1638" w:header="170" w:footer="567"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宋体" w:hAnsi="宋体" w:eastAsia="宋体" w:cs="宋体"/>
          <w:bCs/>
          <w:i w:val="0"/>
          <w:iCs w:val="0"/>
          <w:caps w:val="0"/>
          <w:color w:val="000000"/>
          <w:spacing w:val="0"/>
          <w:kern w:val="0"/>
          <w:sz w:val="24"/>
          <w:szCs w:val="24"/>
          <w:lang w:val="en-US" w:eastAsia="zh-CN" w:bidi="ar"/>
        </w:rPr>
        <w:fldChar w:fldCharType="end"/>
      </w:r>
    </w:p>
    <w:p w14:paraId="227A79D4">
      <w:pPr>
        <w:pStyle w:val="9"/>
        <w:keepNext w:val="0"/>
        <w:keepLines w:val="0"/>
        <w:widowControl/>
        <w:suppressLineNumbers w:val="0"/>
        <w:spacing w:before="100" w:beforeAutospacing="1" w:after="100" w:afterAutospacing="1"/>
        <w:ind w:left="0" w:right="0" w:firstLine="0"/>
        <w:jc w:val="center"/>
        <w:rPr>
          <w:rFonts w:hint="eastAsia" w:ascii="宋体" w:hAnsi="宋体" w:eastAsia="宋体" w:cs="宋体"/>
          <w:b/>
          <w:bCs/>
          <w:i w:val="0"/>
          <w:iCs w:val="0"/>
          <w:caps w:val="0"/>
          <w:color w:val="000000"/>
          <w:spacing w:val="0"/>
          <w:kern w:val="0"/>
          <w:sz w:val="28"/>
          <w:szCs w:val="28"/>
          <w:lang w:val="en-US" w:eastAsia="zh" w:bidi="ar"/>
        </w:rPr>
      </w:pPr>
      <w:bookmarkStart w:id="13" w:name="_Toc27367"/>
      <w:bookmarkStart w:id="14" w:name="_Toc14388"/>
      <w:bookmarkStart w:id="15" w:name="_Toc4715"/>
      <w:bookmarkStart w:id="16" w:name="_Toc11857"/>
      <w:r>
        <w:rPr>
          <w:rFonts w:hint="eastAsia" w:ascii="宋体" w:hAnsi="宋体" w:eastAsia="宋体" w:cs="宋体"/>
          <w:b/>
          <w:bCs/>
          <w:i w:val="0"/>
          <w:iCs w:val="0"/>
          <w:caps w:val="0"/>
          <w:color w:val="000000"/>
          <w:spacing w:val="0"/>
          <w:kern w:val="0"/>
          <w:sz w:val="28"/>
          <w:szCs w:val="28"/>
          <w:lang w:val="en-US" w:eastAsia="zh-CN" w:bidi="ar"/>
        </w:rPr>
        <w:t>西藏</w:t>
      </w:r>
      <w:r>
        <w:rPr>
          <w:rFonts w:hint="eastAsia" w:ascii="宋体" w:hAnsi="宋体" w:eastAsia="宋体" w:cs="宋体"/>
          <w:b/>
          <w:bCs/>
          <w:i w:val="0"/>
          <w:iCs w:val="0"/>
          <w:caps w:val="0"/>
          <w:color w:val="000000"/>
          <w:spacing w:val="0"/>
          <w:kern w:val="0"/>
          <w:sz w:val="28"/>
          <w:szCs w:val="28"/>
          <w:lang w:val="en-US" w:eastAsia="zh" w:bidi="ar"/>
        </w:rPr>
        <w:t>林芝市公安局</w:t>
      </w:r>
    </w:p>
    <w:p w14:paraId="6E4765EC">
      <w:pPr>
        <w:pStyle w:val="9"/>
        <w:keepNext w:val="0"/>
        <w:keepLines w:val="0"/>
        <w:widowControl/>
        <w:suppressLineNumbers w:val="0"/>
        <w:spacing w:before="100" w:beforeAutospacing="1" w:after="100" w:afterAutospacing="1"/>
        <w:ind w:left="0" w:right="0" w:firstLine="0"/>
        <w:jc w:val="center"/>
        <w:rPr>
          <w:rFonts w:hint="eastAsia" w:ascii="宋体" w:hAnsi="宋体" w:eastAsia="宋体" w:cs="宋体"/>
          <w:b/>
          <w:bCs/>
          <w:i w:val="0"/>
          <w:iCs w:val="0"/>
          <w:caps w:val="0"/>
          <w:color w:val="000000"/>
          <w:spacing w:val="0"/>
          <w:kern w:val="0"/>
          <w:sz w:val="28"/>
          <w:szCs w:val="28"/>
          <w:lang w:val="en-US" w:eastAsia="zh-CN" w:bidi="ar"/>
        </w:rPr>
      </w:pPr>
      <w:r>
        <w:rPr>
          <w:rFonts w:hint="eastAsia" w:ascii="宋体" w:hAnsi="宋体" w:eastAsia="宋体" w:cs="宋体"/>
          <w:b/>
          <w:bCs/>
          <w:i w:val="0"/>
          <w:iCs w:val="0"/>
          <w:caps w:val="0"/>
          <w:color w:val="000000"/>
          <w:spacing w:val="0"/>
          <w:kern w:val="0"/>
          <w:sz w:val="28"/>
          <w:szCs w:val="28"/>
          <w:lang w:val="en-US" w:eastAsia="zh-CN" w:bidi="ar"/>
        </w:rPr>
        <w:t>2023年度部门整体绩效评价报告</w:t>
      </w:r>
      <w:bookmarkEnd w:id="13"/>
      <w:bookmarkEnd w:id="14"/>
      <w:bookmarkEnd w:id="15"/>
      <w:bookmarkEnd w:id="16"/>
    </w:p>
    <w:p w14:paraId="3231D752">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林芝市财政局</w:t>
      </w:r>
      <w:r>
        <w:rPr>
          <w:rFonts w:hint="eastAsia" w:eastAsia="宋体" w:cs="宋体"/>
          <w:b/>
          <w:bCs/>
          <w:color w:val="000000"/>
          <w:kern w:val="2"/>
          <w:sz w:val="24"/>
          <w:szCs w:val="24"/>
          <w:lang w:val="en-US" w:eastAsia="zh-CN" w:bidi="ar-SA"/>
        </w:rPr>
        <w:t>：</w:t>
      </w:r>
    </w:p>
    <w:p w14:paraId="43D0B820">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我们接受贵单位委托，对林芝市公安局</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以下简称</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“市公安局”</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2023年1月1日</w:t>
      </w:r>
      <w:r>
        <w:rPr>
          <w:rFonts w:hint="eastAsia" w:eastAsia="宋体" w:cs="宋体"/>
          <w:color w:val="000000"/>
          <w:kern w:val="2"/>
          <w:sz w:val="24"/>
          <w:szCs w:val="24"/>
          <w:lang w:val="en-US" w:eastAsia="zh-CN" w:bidi="ar-SA"/>
        </w:rPr>
        <w:t>至</w:t>
      </w:r>
      <w:r>
        <w:rPr>
          <w:rFonts w:hint="eastAsia" w:ascii="宋体" w:hAnsi="宋体" w:eastAsia="宋体" w:cs="宋体"/>
          <w:color w:val="000000"/>
          <w:kern w:val="2"/>
          <w:sz w:val="24"/>
          <w:szCs w:val="24"/>
          <w:lang w:val="en-US" w:eastAsia="zh-CN" w:bidi="ar-SA"/>
        </w:rPr>
        <w:t>2023年12月31日本级财政预算资金整体支出进行绩效评价，市公安局对建立健全内部内控制度、提供的会计资料和相关材料证明文件的完整性、真实性、合法性承担责任。依据《中共西自治区委员会西藏自治区人民政府关于全面实施预算绩效管理的实施意见》</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藏党发</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2020</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7号</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、财政部《财政支出绩效评价管理暂行办法》</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财预</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20</w:t>
      </w:r>
      <w:r>
        <w:rPr>
          <w:rFonts w:hint="eastAsia" w:eastAsia="宋体" w:cs="宋体"/>
          <w:color w:val="000000"/>
          <w:kern w:val="2"/>
          <w:sz w:val="24"/>
          <w:szCs w:val="24"/>
          <w:lang w:val="en-US" w:eastAsia="zh-CN" w:bidi="ar-SA"/>
        </w:rPr>
        <w:t>11〕</w:t>
      </w:r>
      <w:r>
        <w:rPr>
          <w:rFonts w:hint="eastAsia" w:ascii="宋体" w:hAnsi="宋体" w:eastAsia="宋体" w:cs="宋体"/>
          <w:color w:val="000000"/>
          <w:kern w:val="2"/>
          <w:sz w:val="24"/>
          <w:szCs w:val="24"/>
          <w:lang w:val="en-US" w:eastAsia="zh-CN" w:bidi="ar-SA"/>
        </w:rPr>
        <w:t>285 号</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以及《林芝市财政局关于开展2023年度部门整体支出、项目支出、财政政策绩效评价工作通知》</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林财预</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20</w:t>
      </w:r>
      <w:r>
        <w:rPr>
          <w:rFonts w:hint="eastAsia" w:eastAsia="宋体" w:cs="宋体"/>
          <w:color w:val="000000"/>
          <w:kern w:val="2"/>
          <w:sz w:val="24"/>
          <w:szCs w:val="24"/>
          <w:lang w:val="en-US" w:eastAsia="zh-CN" w:bidi="ar-SA"/>
        </w:rPr>
        <w:t>24〕</w:t>
      </w:r>
      <w:r>
        <w:rPr>
          <w:rFonts w:hint="eastAsia" w:ascii="宋体" w:hAnsi="宋体" w:eastAsia="宋体" w:cs="宋体"/>
          <w:color w:val="000000"/>
          <w:kern w:val="2"/>
          <w:sz w:val="24"/>
          <w:szCs w:val="24"/>
          <w:lang w:val="en-US" w:eastAsia="zh-CN" w:bidi="ar-SA"/>
        </w:rPr>
        <w:t>11号</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CN" w:bidi="ar-SA"/>
        </w:rPr>
        <w:t>相关要求，结合市公安局的实际情况，我们实施了查阅资料、实地察看社会调查、检查、函证、询问、计算、分析性复核等评价程序，现将有关情况报告如下：</w:t>
      </w:r>
    </w:p>
    <w:p w14:paraId="149A0977">
      <w:pPr>
        <w:keepNext w:val="0"/>
        <w:keepLines w:val="0"/>
        <w:widowControl w:val="0"/>
        <w:suppressLineNumbers w:val="0"/>
        <w:autoSpaceDE w:val="0"/>
        <w:autoSpaceDN/>
        <w:spacing w:before="165" w:beforeLines="50" w:beforeAutospacing="0" w:after="165" w:afterLines="50" w:afterAutospacing="0" w:line="360" w:lineRule="auto"/>
        <w:ind w:right="0" w:firstLine="482" w:firstLineChars="200"/>
        <w:jc w:val="left"/>
        <w:outlineLvl w:val="0"/>
        <w:rPr>
          <w:rFonts w:hint="eastAsia" w:ascii="宋体" w:hAnsi="宋体" w:eastAsia="宋体" w:cs="宋体"/>
          <w:b/>
          <w:bCs/>
          <w:kern w:val="2"/>
          <w:sz w:val="24"/>
          <w:szCs w:val="24"/>
          <w:lang w:val="en-US" w:eastAsia="zh-CN" w:bidi="ar"/>
        </w:rPr>
      </w:pPr>
      <w:bookmarkStart w:id="17" w:name="_Toc16615"/>
      <w:r>
        <w:rPr>
          <w:rFonts w:hint="eastAsia" w:ascii="宋体" w:hAnsi="宋体" w:eastAsia="宋体" w:cs="宋体"/>
          <w:b/>
          <w:bCs/>
          <w:kern w:val="2"/>
          <w:sz w:val="24"/>
          <w:szCs w:val="24"/>
          <w:lang w:val="en-US" w:eastAsia="zh" w:bidi="ar"/>
        </w:rPr>
        <w:t>一、</w:t>
      </w:r>
      <w:r>
        <w:rPr>
          <w:rFonts w:hint="eastAsia" w:ascii="宋体" w:hAnsi="宋体" w:eastAsia="宋体" w:cs="宋体"/>
          <w:b/>
          <w:bCs/>
          <w:kern w:val="2"/>
          <w:sz w:val="24"/>
          <w:szCs w:val="24"/>
          <w:lang w:val="en-US" w:eastAsia="zh-CN" w:bidi="ar"/>
        </w:rPr>
        <w:t>部门基本情况</w:t>
      </w:r>
      <w:bookmarkEnd w:id="17"/>
    </w:p>
    <w:p w14:paraId="3E1B7092">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eastAsia" w:ascii="宋体" w:hAnsi="宋体" w:eastAsia="宋体" w:cs="宋体"/>
          <w:b/>
          <w:bCs/>
          <w:kern w:val="2"/>
          <w:sz w:val="24"/>
          <w:szCs w:val="24"/>
          <w:lang w:val="en-US" w:eastAsia="zh-CN" w:bidi="ar"/>
        </w:rPr>
      </w:pPr>
      <w:bookmarkStart w:id="18" w:name="_Toc19771"/>
      <w:r>
        <w:rPr>
          <w:rFonts w:hint="eastAsia" w:ascii="宋体" w:hAnsi="宋体" w:eastAsia="宋体" w:cs="宋体"/>
          <w:b/>
          <w:bCs/>
          <w:kern w:val="2"/>
          <w:sz w:val="24"/>
          <w:szCs w:val="24"/>
          <w:lang w:val="en-US" w:eastAsia="zh" w:bidi="ar"/>
        </w:rPr>
        <w:t>（一）</w:t>
      </w:r>
      <w:r>
        <w:rPr>
          <w:rFonts w:hint="eastAsia" w:ascii="宋体" w:hAnsi="宋体" w:eastAsia="宋体" w:cs="宋体"/>
          <w:b/>
          <w:bCs/>
          <w:kern w:val="2"/>
          <w:sz w:val="24"/>
          <w:szCs w:val="24"/>
          <w:lang w:val="en-US" w:eastAsia="zh-CN" w:bidi="ar"/>
        </w:rPr>
        <w:t>部门主要职能</w:t>
      </w:r>
      <w:bookmarkEnd w:id="18"/>
    </w:p>
    <w:p w14:paraId="0DEB1EC2">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1.部门职责</w:t>
      </w:r>
    </w:p>
    <w:p w14:paraId="656D01F0">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（1）</w:t>
      </w:r>
      <w:r>
        <w:rPr>
          <w:rFonts w:hint="eastAsia" w:eastAsia="宋体" w:cs="宋体"/>
          <w:color w:val="000000"/>
          <w:kern w:val="2"/>
          <w:sz w:val="24"/>
          <w:szCs w:val="24"/>
          <w:lang w:val="en-US" w:eastAsia="zh" w:bidi="ar-SA"/>
        </w:rPr>
        <w:t>贯彻执行党和国家公安工作方针政策和法律法规，制定地区公安工作发展规划并组织实施：部署、指导、监督、检查各县公安局工作。</w:t>
      </w:r>
    </w:p>
    <w:p w14:paraId="51A13F5C">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（2）</w:t>
      </w:r>
      <w:r>
        <w:rPr>
          <w:rFonts w:hint="eastAsia" w:eastAsia="宋体" w:cs="宋体"/>
          <w:color w:val="000000"/>
          <w:kern w:val="2"/>
          <w:sz w:val="24"/>
          <w:szCs w:val="24"/>
          <w:lang w:val="en-US" w:eastAsia="zh" w:bidi="ar-SA"/>
        </w:rPr>
        <w:t>掌握影响社会稳定、危害国内安全和社会治安的情况，分析形势、制定对策，为自治区公安厅和地委、行署提供</w:t>
      </w:r>
      <w:r>
        <w:rPr>
          <w:rFonts w:hint="eastAsia" w:eastAsia="宋体" w:cs="宋体"/>
          <w:color w:val="000000"/>
          <w:kern w:val="2"/>
          <w:sz w:val="24"/>
          <w:szCs w:val="24"/>
          <w:lang w:val="en-US" w:eastAsia="zh-CN" w:bidi="ar-SA"/>
        </w:rPr>
        <w:t>重要</w:t>
      </w:r>
      <w:r>
        <w:rPr>
          <w:rFonts w:hint="eastAsia" w:eastAsia="宋体" w:cs="宋体"/>
          <w:color w:val="000000"/>
          <w:kern w:val="2"/>
          <w:sz w:val="24"/>
          <w:szCs w:val="24"/>
          <w:lang w:val="en-US" w:eastAsia="zh" w:bidi="ar-SA"/>
        </w:rPr>
        <w:t>情报信息；指导地区公安机关开展维护稳定和反分裂斗争工作，组织实施反分裂斗争重大行动。</w:t>
      </w:r>
    </w:p>
    <w:p w14:paraId="45893297">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（3）</w:t>
      </w:r>
      <w:r>
        <w:rPr>
          <w:rFonts w:hint="eastAsia" w:eastAsia="宋体" w:cs="宋体"/>
          <w:color w:val="000000"/>
          <w:kern w:val="2"/>
          <w:sz w:val="24"/>
          <w:szCs w:val="24"/>
          <w:lang w:val="en-US" w:eastAsia="zh" w:bidi="ar-SA"/>
        </w:rPr>
        <w:t>组织、指导、协调并直接参与地区公安机关侦查工作，负责侦办各种危害国内安全的犯罪案件、刑事犯罪案件、有组织犯罪案件、经济犯罪案件和涉毒案件。</w:t>
      </w:r>
    </w:p>
    <w:p w14:paraId="470A8A58">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（4）</w:t>
      </w:r>
      <w:r>
        <w:rPr>
          <w:rFonts w:hint="eastAsia" w:eastAsia="宋体" w:cs="宋体"/>
          <w:color w:val="000000"/>
          <w:kern w:val="2"/>
          <w:sz w:val="24"/>
          <w:szCs w:val="24"/>
          <w:lang w:val="en-US" w:eastAsia="zh" w:bidi="ar-SA"/>
        </w:rPr>
        <w:t>负责地区范围内发生的爆炸、暗杀等恐怖案件；组织协调、监督检查宗教领域、文化领域、经济领域及其他特殊领域的安全保卫工作。</w:t>
      </w:r>
    </w:p>
    <w:p w14:paraId="63C87EBE">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（5）</w:t>
      </w:r>
      <w:r>
        <w:rPr>
          <w:rFonts w:hint="eastAsia" w:eastAsia="宋体" w:cs="宋体"/>
          <w:color w:val="000000"/>
          <w:kern w:val="2"/>
          <w:sz w:val="24"/>
          <w:szCs w:val="24"/>
          <w:lang w:val="en-US" w:eastAsia="zh" w:bidi="ar-SA"/>
        </w:rPr>
        <w:t>协调处置重大灾害</w:t>
      </w:r>
      <w:r>
        <w:rPr>
          <w:rFonts w:hint="eastAsia" w:eastAsia="宋体" w:cs="宋体"/>
          <w:color w:val="000000"/>
          <w:kern w:val="2"/>
          <w:sz w:val="24"/>
          <w:szCs w:val="24"/>
          <w:lang w:val="en-US" w:eastAsia="zh-CN" w:bidi="ar-SA"/>
        </w:rPr>
        <w:t>事故</w:t>
      </w:r>
      <w:r>
        <w:rPr>
          <w:rFonts w:hint="eastAsia" w:eastAsia="宋体" w:cs="宋体"/>
          <w:color w:val="000000"/>
          <w:kern w:val="2"/>
          <w:sz w:val="24"/>
          <w:szCs w:val="24"/>
          <w:lang w:val="en-US" w:eastAsia="zh" w:bidi="ar-SA"/>
        </w:rPr>
        <w:t>和群体性事件；指导、监督地区公安机关依法查处破坏社会治安秩序行为，依法管理户口、居民身份证、枪支弹药、危险物品和其他特种行业工作。</w:t>
      </w:r>
    </w:p>
    <w:p w14:paraId="097238F3">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（6）</w:t>
      </w:r>
      <w:r>
        <w:rPr>
          <w:rFonts w:hint="eastAsia" w:eastAsia="宋体" w:cs="宋体"/>
          <w:color w:val="000000"/>
          <w:kern w:val="2"/>
          <w:sz w:val="24"/>
          <w:szCs w:val="24"/>
          <w:lang w:val="en-US" w:eastAsia="zh" w:bidi="ar-SA"/>
        </w:rPr>
        <w:t>指导、监督地区公安机关依法承担的执行刑罚工作；指导、监督地区公安机关对看守所、拘留所等管理工作；指导、监督收容教养和劳动教养审批工作。</w:t>
      </w:r>
    </w:p>
    <w:p w14:paraId="33F0FFA5">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（7）</w:t>
      </w:r>
      <w:r>
        <w:rPr>
          <w:rFonts w:hint="eastAsia" w:eastAsia="宋体" w:cs="宋体"/>
          <w:color w:val="000000"/>
          <w:kern w:val="2"/>
          <w:sz w:val="24"/>
          <w:szCs w:val="24"/>
          <w:lang w:val="en-US" w:eastAsia="zh" w:bidi="ar-SA"/>
        </w:rPr>
        <w:t>依据国家法律对治安刑事拘留人员执行刑罚；负责对执行刑罚人员进行教育。</w:t>
      </w:r>
    </w:p>
    <w:p w14:paraId="0673A528">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（8）</w:t>
      </w:r>
      <w:r>
        <w:rPr>
          <w:rFonts w:hint="eastAsia" w:eastAsia="宋体" w:cs="宋体"/>
          <w:color w:val="000000"/>
          <w:kern w:val="2"/>
          <w:sz w:val="24"/>
          <w:szCs w:val="24"/>
          <w:lang w:val="en-US" w:eastAsia="zh" w:bidi="ar-SA"/>
        </w:rPr>
        <w:t>依据国家法律对治安拘留人员执行行政处罚和行政强制措施；负责对被裁决治安拘留人员、司法拘留人员进行教育。</w:t>
      </w:r>
    </w:p>
    <w:p w14:paraId="60A40951">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（9）</w:t>
      </w:r>
      <w:r>
        <w:rPr>
          <w:rFonts w:hint="eastAsia" w:eastAsia="宋体" w:cs="宋体"/>
          <w:color w:val="000000"/>
          <w:kern w:val="2"/>
          <w:sz w:val="24"/>
          <w:szCs w:val="24"/>
          <w:lang w:val="en-US" w:eastAsia="zh" w:bidi="ar-SA"/>
        </w:rPr>
        <w:t>组织实施全地区公安科学技术工作，规划和指导公安机关的指挥系统、信息技术、刑事技术建设；负责重大案件的技术</w:t>
      </w:r>
      <w:r>
        <w:rPr>
          <w:rFonts w:hint="eastAsia" w:eastAsia="宋体" w:cs="宋体"/>
          <w:color w:val="000000"/>
          <w:kern w:val="2"/>
          <w:sz w:val="24"/>
          <w:szCs w:val="24"/>
          <w:lang w:val="en-US" w:eastAsia="zh-CN" w:bidi="ar-SA"/>
        </w:rPr>
        <w:t>侦查</w:t>
      </w:r>
      <w:r>
        <w:rPr>
          <w:rFonts w:hint="eastAsia" w:eastAsia="宋体" w:cs="宋体"/>
          <w:color w:val="000000"/>
          <w:kern w:val="2"/>
          <w:sz w:val="24"/>
          <w:szCs w:val="24"/>
          <w:lang w:val="en-US" w:eastAsia="zh" w:bidi="ar-SA"/>
        </w:rPr>
        <w:t>工作。</w:t>
      </w:r>
    </w:p>
    <w:p w14:paraId="2884F4C0">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（10）</w:t>
      </w:r>
      <w:r>
        <w:rPr>
          <w:rFonts w:hint="eastAsia" w:eastAsia="宋体" w:cs="宋体"/>
          <w:color w:val="000000"/>
          <w:kern w:val="2"/>
          <w:sz w:val="24"/>
          <w:szCs w:val="24"/>
          <w:lang w:val="en-US" w:eastAsia="zh" w:bidi="ar-SA"/>
        </w:rPr>
        <w:t>负责出入境管理工作。依法对外国人进行管理，对中国公民出入境进行管理；依法查处非法</w:t>
      </w:r>
      <w:r>
        <w:rPr>
          <w:rFonts w:hint="eastAsia" w:eastAsia="宋体" w:cs="宋体"/>
          <w:color w:val="000000"/>
          <w:kern w:val="2"/>
          <w:sz w:val="24"/>
          <w:szCs w:val="24"/>
          <w:lang w:val="en-US" w:eastAsia="zh-CN" w:bidi="ar-SA"/>
        </w:rPr>
        <w:t>出入境</w:t>
      </w:r>
      <w:r>
        <w:rPr>
          <w:rFonts w:hint="eastAsia" w:eastAsia="宋体" w:cs="宋体"/>
          <w:color w:val="000000"/>
          <w:kern w:val="2"/>
          <w:sz w:val="24"/>
          <w:szCs w:val="24"/>
          <w:lang w:val="en-US" w:eastAsia="zh" w:bidi="ar-SA"/>
        </w:rPr>
        <w:t>活动。</w:t>
      </w:r>
    </w:p>
    <w:p w14:paraId="348D9CC6">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（11）</w:t>
      </w:r>
      <w:r>
        <w:rPr>
          <w:rFonts w:hint="eastAsia" w:eastAsia="宋体" w:cs="宋体"/>
          <w:color w:val="000000"/>
          <w:kern w:val="2"/>
          <w:sz w:val="24"/>
          <w:szCs w:val="24"/>
          <w:lang w:val="en-US" w:eastAsia="zh" w:bidi="ar-SA"/>
        </w:rPr>
        <w:t>指导、维护地区道路交通安全、道路交通秩序以及机动车辆（不含拖拉机）、驾驶人管理工作；负责全地区机动车民用号牌和驾驶证管理与发放工作。</w:t>
      </w:r>
    </w:p>
    <w:p w14:paraId="6C93D709">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（12）</w:t>
      </w:r>
      <w:r>
        <w:rPr>
          <w:rFonts w:hint="eastAsia" w:eastAsia="宋体" w:cs="宋体"/>
          <w:color w:val="000000"/>
          <w:kern w:val="2"/>
          <w:sz w:val="24"/>
          <w:szCs w:val="24"/>
          <w:lang w:val="en-US" w:eastAsia="zh" w:bidi="ar-SA"/>
        </w:rPr>
        <w:t>承办公安机关行政复议、应诉工作；办理国家赔偿案件；负责管理劳动教养的审批工作；开展公安法制宣传，提供法律服务。</w:t>
      </w:r>
    </w:p>
    <w:p w14:paraId="1147E4D1">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（13）</w:t>
      </w:r>
      <w:r>
        <w:rPr>
          <w:rFonts w:hint="eastAsia" w:eastAsia="宋体" w:cs="宋体"/>
          <w:color w:val="000000"/>
          <w:kern w:val="2"/>
          <w:sz w:val="24"/>
          <w:szCs w:val="24"/>
          <w:lang w:val="en-US" w:eastAsia="zh" w:bidi="ar-SA"/>
        </w:rPr>
        <w:t>组织、协调对恐怖活动的防范、侦办和处置工作。</w:t>
      </w:r>
    </w:p>
    <w:p w14:paraId="6A243BDA">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（14）</w:t>
      </w:r>
      <w:r>
        <w:rPr>
          <w:rFonts w:hint="eastAsia" w:eastAsia="宋体" w:cs="宋体"/>
          <w:color w:val="000000"/>
          <w:kern w:val="2"/>
          <w:sz w:val="24"/>
          <w:szCs w:val="24"/>
          <w:lang w:val="en-US" w:eastAsia="zh" w:bidi="ar-SA"/>
        </w:rPr>
        <w:t>指导、监督、实施地区公安机关对公共信息网络的安全保卫工作，负责信息安全等级保护工作的监督、检查、指导，负责依法查处利用公共信息网络或计算机实施各类违法犯罪活动。</w:t>
      </w:r>
    </w:p>
    <w:p w14:paraId="6587F3B6">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（15）</w:t>
      </w:r>
      <w:r>
        <w:rPr>
          <w:rFonts w:hint="eastAsia" w:eastAsia="宋体" w:cs="宋体"/>
          <w:color w:val="000000"/>
          <w:kern w:val="2"/>
          <w:sz w:val="24"/>
          <w:szCs w:val="24"/>
          <w:lang w:val="en-US" w:eastAsia="zh" w:bidi="ar-SA"/>
        </w:rPr>
        <w:t>承办地区行政公署交办的其他事项。</w:t>
      </w:r>
    </w:p>
    <w:p w14:paraId="0A0465EC">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2.部门组织架构</w:t>
      </w:r>
    </w:p>
    <w:p w14:paraId="01BACC34">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（1）机构设置</w:t>
      </w:r>
    </w:p>
    <w:p w14:paraId="7C9EE8C5">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 w:bidi="ar-SA"/>
        </w:rPr>
      </w:pPr>
      <w:r>
        <w:rPr>
          <w:rFonts w:hint="default" w:ascii="宋体" w:hAnsi="宋体" w:eastAsia="宋体" w:cs="宋体"/>
          <w:color w:val="000000"/>
          <w:kern w:val="2"/>
          <w:sz w:val="24"/>
          <w:szCs w:val="24"/>
          <w:lang w:val="en-US" w:eastAsia="zh-CN" w:bidi="ar-SA"/>
        </w:rPr>
        <w:t>部门内设机构23个，包括政治部、办公室、纪检督查支队、警保处、指挥中心、刑警支队、治安支队、法制支队、网安支队、特警支队、出入境管理支队、国保支队、经侦支队、技侦支队、科信支队、禁毒支队、交警支队（为独立核算单位）、机要科、监管支队、看守所、拘留所、情报中心、反恐支队。</w:t>
      </w:r>
    </w:p>
    <w:p w14:paraId="21189E63">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（2）人员构成</w:t>
      </w:r>
    </w:p>
    <w:p w14:paraId="052FDE5B">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default" w:ascii="宋体" w:hAnsi="宋体" w:eastAsia="宋体" w:cs="宋体"/>
          <w:color w:val="000000"/>
          <w:kern w:val="2"/>
          <w:sz w:val="24"/>
          <w:szCs w:val="24"/>
          <w:lang w:val="en-US" w:eastAsia="zh-CN" w:bidi="ar-SA"/>
        </w:rPr>
      </w:pPr>
      <w:r>
        <w:rPr>
          <w:rFonts w:hint="default" w:ascii="宋体" w:hAnsi="宋体" w:eastAsia="宋体" w:cs="宋体"/>
          <w:color w:val="000000"/>
          <w:kern w:val="2"/>
          <w:sz w:val="24"/>
          <w:szCs w:val="24"/>
          <w:lang w:val="en-US" w:eastAsia="zh-CN" w:bidi="ar-SA"/>
        </w:rPr>
        <w:t>市公安局为财政一级预算单位（交警支队为独立预算单位）。单位编制人数285人，2023年年末在职实有人数381人。</w:t>
      </w:r>
    </w:p>
    <w:p w14:paraId="03BA4EBE">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default" w:ascii="宋体" w:hAnsi="宋体" w:eastAsia="宋体" w:cs="宋体"/>
          <w:b/>
          <w:bCs/>
          <w:kern w:val="2"/>
          <w:sz w:val="24"/>
          <w:szCs w:val="24"/>
          <w:lang w:val="en-US" w:eastAsia="zh-CN" w:bidi="ar"/>
        </w:rPr>
      </w:pPr>
      <w:bookmarkStart w:id="19" w:name="_Toc23587"/>
      <w:r>
        <w:rPr>
          <w:rFonts w:hint="eastAsia" w:ascii="宋体" w:hAnsi="宋体" w:eastAsia="宋体" w:cs="宋体"/>
          <w:b/>
          <w:bCs/>
          <w:kern w:val="2"/>
          <w:sz w:val="24"/>
          <w:szCs w:val="24"/>
          <w:lang w:val="en" w:eastAsia="zh-CN" w:bidi="ar"/>
        </w:rPr>
        <w:t>（</w:t>
      </w:r>
      <w:r>
        <w:rPr>
          <w:rFonts w:hint="eastAsia" w:ascii="宋体" w:hAnsi="宋体" w:eastAsia="宋体" w:cs="宋体"/>
          <w:b/>
          <w:bCs/>
          <w:kern w:val="2"/>
          <w:sz w:val="24"/>
          <w:szCs w:val="24"/>
          <w:lang w:val="en" w:eastAsia="zh" w:bidi="ar"/>
        </w:rPr>
        <w:t>二</w:t>
      </w:r>
      <w:r>
        <w:rPr>
          <w:rFonts w:hint="eastAsia" w:ascii="宋体" w:hAnsi="宋体" w:eastAsia="宋体" w:cs="宋体"/>
          <w:b/>
          <w:bCs/>
          <w:kern w:val="2"/>
          <w:sz w:val="24"/>
          <w:szCs w:val="24"/>
          <w:lang w:val="en" w:eastAsia="zh-CN" w:bidi="ar"/>
        </w:rPr>
        <w:t>）年度总体工作、重点工作任务</w:t>
      </w:r>
      <w:bookmarkEnd w:id="19"/>
    </w:p>
    <w:p w14:paraId="40FF623F">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1.年度总体工作</w:t>
      </w:r>
    </w:p>
    <w:p w14:paraId="5098DCFE">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 w:bidi="ar-SA"/>
        </w:rPr>
      </w:pPr>
      <w:r>
        <w:rPr>
          <w:rFonts w:hint="eastAsia" w:ascii="宋体" w:hAnsi="宋体" w:eastAsia="宋体" w:cs="宋体"/>
          <w:color w:val="000000"/>
          <w:kern w:val="2"/>
          <w:sz w:val="24"/>
          <w:szCs w:val="24"/>
          <w:lang w:val="en-US" w:eastAsia="zh" w:bidi="ar-SA"/>
        </w:rPr>
        <w:t>加强党的政治建设，坚决捍卫政治安全，深入推进反渗透反颠覆斗争，深入推进反恐怖斗争；维护社会大局稳定，排查化解各类矛盾纠纷；保障人民生命财产安全，严打突出违法犯罪，加强打击能力；加强重点领域安全监管，强化重点物品、重点场所安全管理，推进公共交通安全治理；加强基层基础工作，加强基层所对建设，持续抓好三岩搬迁群众服务管理工作；加强智慧警务建设，加强基础能力建设，加强实战能力建设；加强改革攻坚，做实警务模式改革，做优公安服务改革，推进公安工作法治化建设。</w:t>
      </w:r>
    </w:p>
    <w:p w14:paraId="3BC792E1">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2.重点工作任务</w:t>
      </w:r>
    </w:p>
    <w:p w14:paraId="2A653153">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color w:val="000000"/>
          <w:kern w:val="2"/>
          <w:sz w:val="24"/>
          <w:szCs w:val="24"/>
          <w:lang w:val="en-US" w:eastAsia="zh" w:bidi="ar-SA"/>
        </w:rPr>
      </w:pPr>
      <w:r>
        <w:rPr>
          <w:rFonts w:hint="eastAsia" w:ascii="宋体" w:hAnsi="宋体" w:eastAsia="宋体" w:cs="宋体"/>
          <w:b/>
          <w:bCs/>
          <w:color w:val="000000"/>
          <w:kern w:val="2"/>
          <w:sz w:val="24"/>
          <w:szCs w:val="24"/>
          <w:lang w:val="en-US" w:eastAsia="zh" w:bidi="ar-SA"/>
        </w:rPr>
        <w:t>（1）全面加强政治建设，铸牢忠诚新高度。</w:t>
      </w:r>
      <w:r>
        <w:rPr>
          <w:rFonts w:hint="eastAsia" w:ascii="宋体" w:hAnsi="宋体" w:eastAsia="宋体" w:cs="宋体"/>
          <w:color w:val="000000"/>
          <w:kern w:val="2"/>
          <w:sz w:val="24"/>
          <w:szCs w:val="24"/>
          <w:lang w:val="en-US" w:eastAsia="zh" w:bidi="ar-SA"/>
        </w:rPr>
        <w:t>深入推进全区政法“三个活动”，组织开展“铁血铸忠诚 护航新征程”党建教育实践活动和“学习党的二十大，公安机关怎么干”大研讨活动，以忠诚之心捍卫“两个确立”，以忠诚之力坚定“四个自信”，增强“四个意识”，以丹心之魂做到“两个维护”。将主题教育活动作为当前一项重大政治任务抓紧抓牢成立领导小组，召开动员部署会，推进主题教育各项工作走深走实。局党委班子以上率下，深入分管联系的基层单位、挂点党支部，通过召开支部会、开展主题党日活动等方式精心组织学习宣传。坚持党委理论领导干部率先“学”，</w:t>
      </w:r>
      <w:r>
        <w:rPr>
          <w:rFonts w:hint="eastAsia" w:ascii="宋体" w:hAnsi="宋体" w:eastAsia="宋体" w:cs="宋体"/>
          <w:color w:val="000000"/>
          <w:kern w:val="2"/>
          <w:sz w:val="24"/>
          <w:szCs w:val="24"/>
          <w:highlight w:val="none"/>
          <w:lang w:val="en-US" w:eastAsia="zh" w:bidi="ar-SA"/>
        </w:rPr>
        <w:t>党支部跟进学习中心组带头“学”“学”召开中心组学习会 14 次，支部</w:t>
      </w:r>
      <w:r>
        <w:rPr>
          <w:rFonts w:hint="eastAsia" w:ascii="宋体" w:hAnsi="宋体" w:eastAsia="宋体" w:cs="宋体"/>
          <w:color w:val="000000"/>
          <w:kern w:val="2"/>
          <w:sz w:val="24"/>
          <w:szCs w:val="24"/>
          <w:lang w:val="en-US" w:eastAsia="zh" w:bidi="ar-SA"/>
        </w:rPr>
        <w:t xml:space="preserve">学习会 </w:t>
      </w:r>
      <w:r>
        <w:rPr>
          <w:rFonts w:hint="eastAsia" w:eastAsia="宋体" w:cs="宋体"/>
          <w:color w:val="000000"/>
          <w:kern w:val="2"/>
          <w:sz w:val="24"/>
          <w:szCs w:val="24"/>
          <w:lang w:val="en-US" w:eastAsia="zh-CN" w:bidi="ar-SA"/>
        </w:rPr>
        <w:t>1,8</w:t>
      </w:r>
      <w:r>
        <w:rPr>
          <w:rFonts w:hint="eastAsia" w:ascii="宋体" w:hAnsi="宋体" w:eastAsia="宋体" w:cs="宋体"/>
          <w:color w:val="000000"/>
          <w:kern w:val="2"/>
          <w:sz w:val="24"/>
          <w:szCs w:val="24"/>
          <w:lang w:val="en-US" w:eastAsia="zh" w:bidi="ar-SA"/>
        </w:rPr>
        <w:t>50 余次</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 w:bidi="ar-SA"/>
        </w:rPr>
        <w:t>坚持创造性开展工作，自觉把林芝公安工作放在党和国家事业全局、放在全市工作大局来审视和谋划，为林芝改革开放先行营造安全稳定发展环境。持续深化“四强”党支部创建活动，更好发挥党支部战斗堡垒作用和党员先锋模范作用，党总支第26党支部被评为“全市百佳示范党支部”。坚励党风廉政以林芝市第二十八个党风廉政建设宣传教育月活动为契机，持续深化党风廉政建设和反腐败工作，坚持以案为鉴，深刻汲取系列腐败案件的沉痛教训，健全完善执法监督制度体系全力攻坚积案隐案，坚决堵住漏洞、防住隐患，公安队伍“知敬畏、存戒惧、守底线”的思想根基更加筑牢。</w:t>
      </w:r>
    </w:p>
    <w:p w14:paraId="1E7CAEE8">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color w:val="000000"/>
          <w:kern w:val="2"/>
          <w:sz w:val="24"/>
          <w:szCs w:val="24"/>
          <w:lang w:val="en" w:eastAsia="zh" w:bidi="ar-SA"/>
        </w:rPr>
      </w:pPr>
      <w:r>
        <w:rPr>
          <w:rFonts w:hint="eastAsia" w:eastAsia="宋体" w:cs="宋体"/>
          <w:b/>
          <w:bCs/>
          <w:color w:val="000000"/>
          <w:kern w:val="2"/>
          <w:sz w:val="24"/>
          <w:szCs w:val="24"/>
          <w:lang w:val="en" w:eastAsia="zh-CN" w:bidi="ar-SA"/>
        </w:rPr>
        <w:t>（</w:t>
      </w:r>
      <w:r>
        <w:rPr>
          <w:rFonts w:hint="eastAsia" w:ascii="宋体" w:hAnsi="宋体" w:eastAsia="宋体" w:cs="宋体"/>
          <w:b/>
          <w:bCs/>
          <w:color w:val="000000"/>
          <w:kern w:val="2"/>
          <w:sz w:val="24"/>
          <w:szCs w:val="24"/>
          <w:lang w:val="en" w:eastAsia="zh" w:bidi="ar-SA"/>
        </w:rPr>
        <w:t>2</w:t>
      </w:r>
      <w:r>
        <w:rPr>
          <w:rFonts w:hint="eastAsia" w:eastAsia="宋体" w:cs="宋体"/>
          <w:b/>
          <w:bCs/>
          <w:color w:val="000000"/>
          <w:kern w:val="2"/>
          <w:sz w:val="24"/>
          <w:szCs w:val="24"/>
          <w:lang w:val="en" w:eastAsia="zh-CN" w:bidi="ar-SA"/>
        </w:rPr>
        <w:t>）</w:t>
      </w:r>
      <w:r>
        <w:rPr>
          <w:rFonts w:hint="eastAsia" w:ascii="宋体" w:hAnsi="宋体" w:eastAsia="宋体" w:cs="宋体"/>
          <w:b/>
          <w:bCs/>
          <w:color w:val="000000"/>
          <w:kern w:val="2"/>
          <w:sz w:val="24"/>
          <w:szCs w:val="24"/>
          <w:lang w:val="en" w:eastAsia="zh" w:bidi="ar-SA"/>
        </w:rPr>
        <w:t>推动构建四大格局，担起公安新使命。</w:t>
      </w:r>
      <w:r>
        <w:rPr>
          <w:rFonts w:hint="eastAsia" w:ascii="宋体" w:hAnsi="宋体" w:eastAsia="宋体" w:cs="宋体"/>
          <w:color w:val="000000"/>
          <w:kern w:val="2"/>
          <w:sz w:val="24"/>
          <w:szCs w:val="24"/>
          <w:lang w:val="en" w:eastAsia="zh" w:bidi="ar-SA"/>
        </w:rPr>
        <w:t>聚焦“政治更安全”，推动构建“大政保”格局。实施重点部位、重要节点、重点时段武装联勤联动机制，坚持“屯警街面、动中备”工作原则，切实提高街面见警率和管事率</w:t>
      </w:r>
      <w:r>
        <w:rPr>
          <w:rFonts w:hint="eastAsia" w:eastAsia="宋体" w:cs="宋体"/>
          <w:color w:val="000000"/>
          <w:kern w:val="2"/>
          <w:sz w:val="24"/>
          <w:szCs w:val="24"/>
          <w:lang w:val="en" w:eastAsia="zh-CN" w:bidi="ar-SA"/>
        </w:rPr>
        <w:t>。</w:t>
      </w:r>
      <w:r>
        <w:rPr>
          <w:rFonts w:hint="eastAsia" w:ascii="宋体" w:hAnsi="宋体" w:eastAsia="宋体" w:cs="宋体"/>
          <w:color w:val="000000"/>
          <w:kern w:val="2"/>
          <w:sz w:val="24"/>
          <w:szCs w:val="24"/>
          <w:lang w:val="en" w:eastAsia="zh" w:bidi="ar-SA"/>
        </w:rPr>
        <w:t>聚焦“社会更安定”，推动构建“大稳定”格局。组织开展重点领域网络安全专项整治，检查经营性上网场所</w:t>
      </w:r>
      <w:r>
        <w:rPr>
          <w:rFonts w:hint="eastAsia" w:ascii="宋体" w:hAnsi="宋体" w:eastAsia="宋体" w:cs="宋体"/>
          <w:color w:val="000000"/>
          <w:kern w:val="2"/>
          <w:sz w:val="24"/>
          <w:szCs w:val="24"/>
          <w:lang w:val="en" w:eastAsia="zh-CN" w:bidi="ar-SA"/>
        </w:rPr>
        <w:t>；</w:t>
      </w:r>
      <w:r>
        <w:rPr>
          <w:rFonts w:hint="eastAsia" w:ascii="宋体" w:hAnsi="宋体" w:eastAsia="宋体" w:cs="宋体"/>
          <w:color w:val="000000"/>
          <w:kern w:val="2"/>
          <w:sz w:val="24"/>
          <w:szCs w:val="24"/>
          <w:lang w:val="en" w:eastAsia="zh" w:bidi="ar-SA"/>
        </w:rPr>
        <w:t>持续加强源头管控和隐患排查，强化重点行业领域日常监督，检查中石油、中石化，金融领域督导检查</w:t>
      </w:r>
      <w:r>
        <w:rPr>
          <w:rFonts w:hint="eastAsia" w:eastAsia="宋体" w:cs="宋体"/>
          <w:color w:val="000000"/>
          <w:kern w:val="2"/>
          <w:sz w:val="24"/>
          <w:szCs w:val="24"/>
          <w:lang w:val="en" w:eastAsia="zh-CN" w:bidi="ar-SA"/>
        </w:rPr>
        <w:t>，</w:t>
      </w:r>
      <w:r>
        <w:rPr>
          <w:rFonts w:hint="eastAsia" w:ascii="宋体" w:hAnsi="宋体" w:eastAsia="宋体" w:cs="宋体"/>
          <w:color w:val="000000"/>
          <w:kern w:val="2"/>
          <w:sz w:val="24"/>
          <w:szCs w:val="24"/>
          <w:lang w:val="en" w:eastAsia="zh" w:bidi="ar-SA"/>
        </w:rPr>
        <w:t>民爆物品，烟花爆竹销售点。聚焦“人民更安宁”，推动构建“大治理”格局。全力服务雅下水电开发、川藏铁路、318国道改造等重点项目建设。</w:t>
      </w:r>
    </w:p>
    <w:p w14:paraId="07DBFED8">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color w:val="000000"/>
          <w:kern w:val="2"/>
          <w:sz w:val="24"/>
          <w:szCs w:val="24"/>
          <w:lang w:val="en" w:eastAsia="zh" w:bidi="ar-SA"/>
        </w:rPr>
      </w:pPr>
      <w:r>
        <w:rPr>
          <w:rFonts w:hint="eastAsia" w:ascii="宋体" w:hAnsi="宋体" w:eastAsia="宋体" w:cs="宋体"/>
          <w:b/>
          <w:bCs/>
          <w:color w:val="000000"/>
          <w:kern w:val="2"/>
          <w:sz w:val="24"/>
          <w:szCs w:val="24"/>
          <w:lang w:val="en" w:eastAsia="zh-CN" w:bidi="ar-SA"/>
        </w:rPr>
        <w:t>（</w:t>
      </w:r>
      <w:r>
        <w:rPr>
          <w:rFonts w:hint="eastAsia" w:ascii="宋体" w:hAnsi="宋体" w:eastAsia="宋体" w:cs="宋体"/>
          <w:b/>
          <w:bCs/>
          <w:color w:val="000000"/>
          <w:kern w:val="2"/>
          <w:sz w:val="24"/>
          <w:szCs w:val="24"/>
          <w:lang w:val="en-US" w:eastAsia="zh-CN" w:bidi="ar-SA"/>
        </w:rPr>
        <w:t>3</w:t>
      </w:r>
      <w:r>
        <w:rPr>
          <w:rFonts w:hint="eastAsia" w:ascii="宋体" w:hAnsi="宋体" w:eastAsia="宋体" w:cs="宋体"/>
          <w:b/>
          <w:bCs/>
          <w:color w:val="000000"/>
          <w:kern w:val="2"/>
          <w:sz w:val="24"/>
          <w:szCs w:val="24"/>
          <w:lang w:val="en" w:eastAsia="zh-CN" w:bidi="ar-SA"/>
        </w:rPr>
        <w:t>）</w:t>
      </w:r>
      <w:r>
        <w:rPr>
          <w:rFonts w:hint="eastAsia" w:ascii="宋体" w:hAnsi="宋体" w:eastAsia="宋体" w:cs="宋体"/>
          <w:b/>
          <w:bCs/>
          <w:color w:val="000000"/>
          <w:kern w:val="2"/>
          <w:sz w:val="24"/>
          <w:szCs w:val="24"/>
          <w:lang w:val="en" w:eastAsia="zh" w:bidi="ar-SA"/>
        </w:rPr>
        <w:t>全力做强六个根本，奋进时代新征程。</w:t>
      </w:r>
      <w:r>
        <w:rPr>
          <w:rFonts w:hint="eastAsia" w:ascii="宋体" w:hAnsi="宋体" w:eastAsia="宋体" w:cs="宋体"/>
          <w:color w:val="000000"/>
          <w:kern w:val="2"/>
          <w:sz w:val="24"/>
          <w:szCs w:val="24"/>
          <w:lang w:val="en" w:eastAsia="zh" w:bidi="ar-SA"/>
        </w:rPr>
        <w:t>以“强法治”为根本取向，公正文明执法。2023年，市县两级案管中心审核行政案件657起，刑事案件 615 起，向检察院移送审查起诉案件 278 起，提出审核意见</w:t>
      </w:r>
      <w:r>
        <w:rPr>
          <w:rFonts w:hint="eastAsia" w:eastAsia="宋体" w:cs="宋体"/>
          <w:color w:val="000000"/>
          <w:kern w:val="2"/>
          <w:sz w:val="24"/>
          <w:szCs w:val="24"/>
          <w:lang w:val="en-US" w:eastAsia="zh-CN" w:bidi="ar-SA"/>
        </w:rPr>
        <w:t>1,2</w:t>
      </w:r>
      <w:r>
        <w:rPr>
          <w:rFonts w:hint="eastAsia" w:ascii="宋体" w:hAnsi="宋体" w:eastAsia="宋体" w:cs="宋体"/>
          <w:color w:val="000000"/>
          <w:kern w:val="2"/>
          <w:sz w:val="24"/>
          <w:szCs w:val="24"/>
          <w:lang w:val="en" w:eastAsia="zh" w:bidi="ar-SA"/>
        </w:rPr>
        <w:t>04条，退回补充侦查案件12 起。以“强改革”为根本动力，深化警务创新。按照“市县主战、派出所主防”的思路，明确警种考核项目及案件量化指标，坚持对标整改，力争各侦查警种年终绩效考评争名夺次。以“强基础”为根本抓手，夯实发展根基。有序推进重大项目力度，进一步推动派出所“两队一室”改革和警务站工作标准化建设，深化“枫桥式公安派出所”创建，高质量推进“一村一警”，落实社区民警专职化和驻村民警专业化管理</w:t>
      </w:r>
      <w:r>
        <w:rPr>
          <w:rFonts w:hint="eastAsia" w:eastAsia="宋体" w:cs="宋体"/>
          <w:color w:val="000000"/>
          <w:kern w:val="2"/>
          <w:sz w:val="24"/>
          <w:szCs w:val="24"/>
          <w:lang w:val="en" w:eastAsia="zh-CN" w:bidi="ar-SA"/>
        </w:rPr>
        <w:t>；</w:t>
      </w:r>
      <w:r>
        <w:rPr>
          <w:rFonts w:hint="eastAsia" w:ascii="宋体" w:hAnsi="宋体" w:eastAsia="宋体" w:cs="宋体"/>
          <w:color w:val="000000"/>
          <w:kern w:val="2"/>
          <w:sz w:val="24"/>
          <w:szCs w:val="24"/>
          <w:lang w:val="en" w:eastAsia="zh" w:bidi="ar-SA"/>
        </w:rPr>
        <w:t>完善派出所办理刑事案件正负面清单和配套机制，引导派出所警务站做实做细基础工作，集中精力开展治安防范查办民生小案。以“强科技”为根本支撑，加快赋能发展。加快“雪亮工程”</w:t>
      </w:r>
      <w:r>
        <w:rPr>
          <w:rFonts w:hint="eastAsia" w:eastAsia="宋体" w:cs="宋体"/>
          <w:color w:val="000000"/>
          <w:kern w:val="2"/>
          <w:sz w:val="24"/>
          <w:szCs w:val="24"/>
          <w:lang w:val="en" w:eastAsia="zh-CN" w:bidi="ar-SA"/>
        </w:rPr>
        <w:t>（</w:t>
      </w:r>
      <w:r>
        <w:rPr>
          <w:rFonts w:hint="eastAsia" w:ascii="宋体" w:hAnsi="宋体" w:eastAsia="宋体" w:cs="宋体"/>
          <w:color w:val="000000"/>
          <w:kern w:val="2"/>
          <w:sz w:val="24"/>
          <w:szCs w:val="24"/>
          <w:lang w:val="en" w:eastAsia="zh" w:bidi="ar-SA"/>
        </w:rPr>
        <w:t>平台汇聚资源2</w:t>
      </w:r>
      <w:r>
        <w:rPr>
          <w:rFonts w:hint="eastAsia" w:eastAsia="宋体" w:cs="宋体"/>
          <w:color w:val="000000"/>
          <w:kern w:val="2"/>
          <w:sz w:val="24"/>
          <w:szCs w:val="24"/>
          <w:lang w:val="en-US" w:eastAsia="zh-CN" w:bidi="ar-SA"/>
        </w:rPr>
        <w:t>1,0</w:t>
      </w:r>
      <w:r>
        <w:rPr>
          <w:rFonts w:hint="eastAsia" w:ascii="宋体" w:hAnsi="宋体" w:eastAsia="宋体" w:cs="宋体"/>
          <w:color w:val="000000"/>
          <w:kern w:val="2"/>
          <w:sz w:val="24"/>
          <w:szCs w:val="24"/>
          <w:lang w:val="en" w:eastAsia="zh" w:bidi="ar-SA"/>
        </w:rPr>
        <w:t>00余路</w:t>
      </w:r>
      <w:r>
        <w:rPr>
          <w:rFonts w:hint="eastAsia" w:eastAsia="宋体" w:cs="宋体"/>
          <w:color w:val="000000"/>
          <w:kern w:val="2"/>
          <w:sz w:val="24"/>
          <w:szCs w:val="24"/>
          <w:lang w:val="en" w:eastAsia="zh-CN" w:bidi="ar-SA"/>
        </w:rPr>
        <w:t>）</w:t>
      </w:r>
      <w:r>
        <w:rPr>
          <w:rFonts w:hint="eastAsia" w:ascii="宋体" w:hAnsi="宋体" w:eastAsia="宋体" w:cs="宋体"/>
          <w:color w:val="000000"/>
          <w:kern w:val="2"/>
          <w:sz w:val="24"/>
          <w:szCs w:val="24"/>
          <w:lang w:val="en" w:eastAsia="zh" w:bidi="ar-SA"/>
        </w:rPr>
        <w:t>、电子围栏建设升级，推进新“一标三实”工作，为公安实战提供数据支撑。推进“智慧小区”建设，大力推动小区数据建模应用，持续深化智慧交管建设，不断提升社会治理现代化和城市智能化水平。</w:t>
      </w:r>
    </w:p>
    <w:p w14:paraId="1A9D643F">
      <w:pPr>
        <w:keepNext w:val="0"/>
        <w:keepLines w:val="0"/>
        <w:widowControl w:val="0"/>
        <w:suppressLineNumbers w:val="0"/>
        <w:autoSpaceDE w:val="0"/>
        <w:autoSpaceDN/>
        <w:spacing w:before="10" w:beforeAutospacing="0" w:after="0" w:afterAutospacing="0" w:line="360" w:lineRule="auto"/>
        <w:ind w:left="0" w:right="0" w:firstLine="482" w:firstLineChars="200"/>
        <w:jc w:val="left"/>
        <w:outlineLvl w:val="1"/>
        <w:rPr>
          <w:rFonts w:hint="eastAsia" w:ascii="宋体" w:hAnsi="宋体" w:eastAsia="宋体" w:cs="宋体"/>
          <w:b/>
          <w:bCs/>
          <w:kern w:val="2"/>
          <w:sz w:val="24"/>
          <w:szCs w:val="24"/>
          <w:lang w:val="en" w:eastAsia="zh-CN" w:bidi="ar"/>
        </w:rPr>
      </w:pPr>
      <w:bookmarkStart w:id="20" w:name="_Toc11124"/>
      <w:r>
        <w:rPr>
          <w:rFonts w:hint="eastAsia" w:ascii="宋体" w:hAnsi="宋体" w:eastAsia="宋体" w:cs="宋体"/>
          <w:b/>
          <w:bCs/>
          <w:kern w:val="2"/>
          <w:sz w:val="24"/>
          <w:szCs w:val="24"/>
          <w:lang w:val="en" w:eastAsia="zh-CN" w:bidi="ar"/>
        </w:rPr>
        <w:t>（</w:t>
      </w:r>
      <w:r>
        <w:rPr>
          <w:rFonts w:hint="eastAsia" w:ascii="宋体" w:hAnsi="宋体" w:eastAsia="宋体" w:cs="宋体"/>
          <w:b/>
          <w:bCs/>
          <w:kern w:val="2"/>
          <w:sz w:val="24"/>
          <w:szCs w:val="24"/>
          <w:lang w:val="en" w:eastAsia="zh" w:bidi="ar"/>
        </w:rPr>
        <w:t>三</w:t>
      </w:r>
      <w:r>
        <w:rPr>
          <w:rFonts w:hint="eastAsia" w:ascii="宋体" w:hAnsi="宋体" w:eastAsia="宋体" w:cs="宋体"/>
          <w:b/>
          <w:bCs/>
          <w:kern w:val="2"/>
          <w:sz w:val="24"/>
          <w:szCs w:val="24"/>
          <w:lang w:val="en" w:eastAsia="zh-CN" w:bidi="ar"/>
        </w:rPr>
        <w:t>）部门预算批复及整体支出安排情况</w:t>
      </w:r>
      <w:bookmarkEnd w:id="20"/>
    </w:p>
    <w:p w14:paraId="607F89AB">
      <w:pPr>
        <w:keepNext w:val="0"/>
        <w:keepLines w:val="0"/>
        <w:widowControl w:val="0"/>
        <w:suppressLineNumbers w:val="0"/>
        <w:autoSpaceDE/>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1.预算批复情况</w:t>
      </w:r>
    </w:p>
    <w:p w14:paraId="6E56173E">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2023年市公安局年初预算批复数</w:t>
      </w:r>
      <w:r>
        <w:rPr>
          <w:rFonts w:hint="eastAsia" w:ascii="宋体" w:hAnsi="宋体" w:eastAsia="宋体" w:cs="宋体"/>
          <w:color w:val="000000"/>
          <w:kern w:val="2"/>
          <w:sz w:val="24"/>
          <w:szCs w:val="24"/>
          <w:lang w:val="en-US" w:eastAsia="zh" w:bidi="ar-SA"/>
        </w:rPr>
        <w:t>1</w:t>
      </w:r>
      <w:r>
        <w:rPr>
          <w:rFonts w:hint="eastAsia" w:eastAsia="宋体" w:cs="宋体"/>
          <w:color w:val="000000"/>
          <w:kern w:val="2"/>
          <w:sz w:val="24"/>
          <w:szCs w:val="24"/>
          <w:lang w:val="en-US" w:eastAsia="zh-CN" w:bidi="ar-SA"/>
        </w:rPr>
        <w:t>5,3</w:t>
      </w:r>
      <w:r>
        <w:rPr>
          <w:rFonts w:hint="eastAsia" w:ascii="宋体" w:hAnsi="宋体" w:eastAsia="宋体" w:cs="宋体"/>
          <w:color w:val="000000"/>
          <w:kern w:val="2"/>
          <w:sz w:val="24"/>
          <w:szCs w:val="24"/>
          <w:lang w:val="en-US" w:eastAsia="zh" w:bidi="ar-SA"/>
        </w:rPr>
        <w:t>8</w:t>
      </w:r>
      <w:r>
        <w:rPr>
          <w:rFonts w:hint="eastAsia" w:eastAsia="宋体" w:cs="宋体"/>
          <w:color w:val="000000"/>
          <w:kern w:val="2"/>
          <w:sz w:val="24"/>
          <w:szCs w:val="24"/>
          <w:lang w:val="en-US" w:eastAsia="zh-CN" w:bidi="ar-SA"/>
        </w:rPr>
        <w:t>2.9</w:t>
      </w:r>
      <w:r>
        <w:rPr>
          <w:rFonts w:hint="eastAsia" w:ascii="宋体" w:hAnsi="宋体" w:eastAsia="宋体" w:cs="宋体"/>
          <w:color w:val="000000"/>
          <w:kern w:val="2"/>
          <w:sz w:val="24"/>
          <w:szCs w:val="24"/>
          <w:lang w:val="en-US" w:eastAsia="zh" w:bidi="ar-SA"/>
        </w:rPr>
        <w:t>9</w:t>
      </w:r>
      <w:r>
        <w:rPr>
          <w:rFonts w:hint="eastAsia" w:eastAsia="宋体" w:cs="宋体"/>
          <w:color w:val="000000"/>
          <w:kern w:val="2"/>
          <w:sz w:val="24"/>
          <w:szCs w:val="24"/>
          <w:lang w:val="en-US" w:eastAsia="zh-CN" w:bidi="ar-SA"/>
        </w:rPr>
        <w:t>万元，调整调剂数</w:t>
      </w:r>
      <w:r>
        <w:rPr>
          <w:rFonts w:hint="eastAsia" w:ascii="宋体" w:hAnsi="宋体" w:eastAsia="宋体" w:cs="宋体"/>
          <w:color w:val="000000"/>
          <w:kern w:val="2"/>
          <w:sz w:val="24"/>
          <w:szCs w:val="24"/>
          <w:lang w:val="en-US" w:eastAsia="zh" w:bidi="ar-SA"/>
        </w:rPr>
        <w:t xml:space="preserve"> 1</w:t>
      </w:r>
      <w:r>
        <w:rPr>
          <w:rFonts w:hint="eastAsia" w:eastAsia="宋体" w:cs="宋体"/>
          <w:color w:val="000000"/>
          <w:kern w:val="2"/>
          <w:sz w:val="24"/>
          <w:szCs w:val="24"/>
          <w:lang w:val="en-US" w:eastAsia="zh-CN" w:bidi="ar-SA"/>
        </w:rPr>
        <w:t>3,7</w:t>
      </w:r>
      <w:r>
        <w:rPr>
          <w:rFonts w:hint="eastAsia" w:ascii="宋体" w:hAnsi="宋体" w:eastAsia="宋体" w:cs="宋体"/>
          <w:color w:val="000000"/>
          <w:kern w:val="2"/>
          <w:sz w:val="24"/>
          <w:szCs w:val="24"/>
          <w:lang w:val="en-US" w:eastAsia="zh" w:bidi="ar-SA"/>
        </w:rPr>
        <w:t>7</w:t>
      </w:r>
      <w:r>
        <w:rPr>
          <w:rFonts w:hint="eastAsia" w:eastAsia="宋体" w:cs="宋体"/>
          <w:color w:val="000000"/>
          <w:kern w:val="2"/>
          <w:sz w:val="24"/>
          <w:szCs w:val="24"/>
          <w:lang w:val="en-US" w:eastAsia="zh-CN" w:bidi="ar-SA"/>
        </w:rPr>
        <w:t>5.61万元，全年预算数</w:t>
      </w:r>
      <w:r>
        <w:rPr>
          <w:rFonts w:hint="eastAsia" w:ascii="宋体" w:hAnsi="宋体" w:eastAsia="宋体" w:cs="宋体"/>
          <w:color w:val="000000"/>
          <w:kern w:val="2"/>
          <w:sz w:val="24"/>
          <w:szCs w:val="24"/>
          <w:lang w:val="en" w:eastAsia="zh" w:bidi="ar-SA"/>
        </w:rPr>
        <w:t>2</w:t>
      </w:r>
      <w:r>
        <w:rPr>
          <w:rFonts w:hint="eastAsia" w:eastAsia="宋体" w:cs="宋体"/>
          <w:color w:val="000000"/>
          <w:kern w:val="2"/>
          <w:sz w:val="24"/>
          <w:szCs w:val="24"/>
          <w:lang w:val="en-US" w:eastAsia="zh-CN" w:bidi="ar-SA"/>
        </w:rPr>
        <w:t>9,158.60万</w:t>
      </w:r>
      <w:r>
        <w:rPr>
          <w:rFonts w:hint="eastAsia" w:ascii="宋体" w:hAnsi="宋体" w:eastAsia="宋体" w:cs="宋体"/>
          <w:color w:val="000000"/>
          <w:kern w:val="2"/>
          <w:sz w:val="24"/>
          <w:szCs w:val="24"/>
          <w:lang w:val="en-US" w:eastAsia="zh" w:bidi="ar-SA"/>
        </w:rPr>
        <w:t>元</w:t>
      </w:r>
      <w:r>
        <w:rPr>
          <w:rFonts w:hint="eastAsia" w:eastAsia="宋体" w:cs="宋体"/>
          <w:color w:val="000000"/>
          <w:kern w:val="2"/>
          <w:sz w:val="24"/>
          <w:szCs w:val="24"/>
          <w:lang w:val="en-US" w:eastAsia="zh-CN" w:bidi="ar-SA"/>
        </w:rPr>
        <w:t>，其中：</w:t>
      </w:r>
      <w:r>
        <w:rPr>
          <w:rFonts w:hint="eastAsia" w:ascii="宋体" w:hAnsi="宋体" w:eastAsia="宋体" w:cs="宋体"/>
          <w:color w:val="000000"/>
          <w:kern w:val="2"/>
          <w:sz w:val="24"/>
          <w:szCs w:val="24"/>
          <w:lang w:val="en-US" w:eastAsia="zh" w:bidi="ar-SA"/>
        </w:rPr>
        <w:t>一般公共预算财政拨款 2</w:t>
      </w:r>
      <w:r>
        <w:rPr>
          <w:rFonts w:hint="eastAsia" w:eastAsia="宋体" w:cs="宋体"/>
          <w:color w:val="000000"/>
          <w:kern w:val="2"/>
          <w:sz w:val="24"/>
          <w:szCs w:val="24"/>
          <w:lang w:val="en-US" w:eastAsia="zh-CN" w:bidi="ar-SA"/>
        </w:rPr>
        <w:t>8,7</w:t>
      </w:r>
      <w:r>
        <w:rPr>
          <w:rFonts w:hint="eastAsia" w:ascii="宋体" w:hAnsi="宋体" w:eastAsia="宋体" w:cs="宋体"/>
          <w:color w:val="000000"/>
          <w:kern w:val="2"/>
          <w:sz w:val="24"/>
          <w:szCs w:val="24"/>
          <w:lang w:val="en-US" w:eastAsia="zh" w:bidi="ar-SA"/>
        </w:rPr>
        <w:t>3</w:t>
      </w:r>
      <w:r>
        <w:rPr>
          <w:rFonts w:hint="eastAsia" w:eastAsia="宋体" w:cs="宋体"/>
          <w:color w:val="000000"/>
          <w:kern w:val="2"/>
          <w:sz w:val="24"/>
          <w:szCs w:val="24"/>
          <w:lang w:val="en-US" w:eastAsia="zh-CN" w:bidi="ar-SA"/>
        </w:rPr>
        <w:t>5.03万</w:t>
      </w:r>
      <w:r>
        <w:rPr>
          <w:rFonts w:hint="eastAsia" w:ascii="宋体" w:hAnsi="宋体" w:eastAsia="宋体" w:cs="宋体"/>
          <w:color w:val="000000"/>
          <w:kern w:val="2"/>
          <w:sz w:val="24"/>
          <w:szCs w:val="24"/>
          <w:lang w:val="en-US" w:eastAsia="zh" w:bidi="ar-SA"/>
        </w:rPr>
        <w:t>元，政府性基金预算财政拨款0</w:t>
      </w:r>
      <w:r>
        <w:rPr>
          <w:rFonts w:hint="eastAsia" w:eastAsia="宋体" w:cs="宋体"/>
          <w:color w:val="000000"/>
          <w:kern w:val="2"/>
          <w:sz w:val="24"/>
          <w:szCs w:val="24"/>
          <w:lang w:val="en-US" w:eastAsia="zh-CN" w:bidi="ar-SA"/>
        </w:rPr>
        <w:t>.00万元</w:t>
      </w:r>
      <w:r>
        <w:rPr>
          <w:rFonts w:hint="eastAsia" w:ascii="宋体" w:hAnsi="宋体" w:eastAsia="宋体" w:cs="宋体"/>
          <w:color w:val="000000"/>
          <w:kern w:val="2"/>
          <w:sz w:val="24"/>
          <w:szCs w:val="24"/>
          <w:lang w:val="en-US" w:eastAsia="zh" w:bidi="ar-SA"/>
        </w:rPr>
        <w:t>，国有资本经营收益财政拨款0</w:t>
      </w:r>
      <w:r>
        <w:rPr>
          <w:rFonts w:hint="eastAsia" w:eastAsia="宋体" w:cs="宋体"/>
          <w:color w:val="000000"/>
          <w:kern w:val="2"/>
          <w:sz w:val="24"/>
          <w:szCs w:val="24"/>
          <w:lang w:val="en-US" w:eastAsia="zh-CN" w:bidi="ar-SA"/>
        </w:rPr>
        <w:t>.00万元，</w:t>
      </w:r>
      <w:r>
        <w:rPr>
          <w:rFonts w:hint="eastAsia" w:ascii="宋体" w:hAnsi="宋体" w:eastAsia="宋体" w:cs="宋体"/>
          <w:color w:val="000000"/>
          <w:kern w:val="2"/>
          <w:sz w:val="24"/>
          <w:szCs w:val="24"/>
          <w:lang w:val="en-US" w:eastAsia="zh" w:bidi="ar-SA"/>
        </w:rPr>
        <w:t>其他收入0</w:t>
      </w:r>
      <w:r>
        <w:rPr>
          <w:rFonts w:hint="eastAsia" w:eastAsia="宋体" w:cs="宋体"/>
          <w:color w:val="000000"/>
          <w:kern w:val="2"/>
          <w:sz w:val="24"/>
          <w:szCs w:val="24"/>
          <w:lang w:val="en-US" w:eastAsia="zh-CN" w:bidi="ar-SA"/>
        </w:rPr>
        <w:t>.00万元，</w:t>
      </w:r>
      <w:r>
        <w:rPr>
          <w:rFonts w:hint="eastAsia" w:ascii="宋体" w:hAnsi="宋体" w:eastAsia="宋体" w:cs="宋体"/>
          <w:color w:val="000000"/>
          <w:kern w:val="2"/>
          <w:sz w:val="24"/>
          <w:szCs w:val="24"/>
          <w:lang w:val="en-US" w:eastAsia="zh" w:bidi="ar-SA"/>
        </w:rPr>
        <w:t>一般公共预算归集调入资金42</w:t>
      </w:r>
      <w:r>
        <w:rPr>
          <w:rFonts w:hint="eastAsia" w:eastAsia="宋体" w:cs="宋体"/>
          <w:color w:val="000000"/>
          <w:kern w:val="2"/>
          <w:sz w:val="24"/>
          <w:szCs w:val="24"/>
          <w:lang w:val="en-US" w:eastAsia="zh-CN" w:bidi="ar-SA"/>
        </w:rPr>
        <w:t>3.5</w:t>
      </w:r>
      <w:r>
        <w:rPr>
          <w:rFonts w:hint="eastAsia" w:ascii="宋体" w:hAnsi="宋体" w:eastAsia="宋体" w:cs="宋体"/>
          <w:color w:val="000000"/>
          <w:kern w:val="2"/>
          <w:sz w:val="24"/>
          <w:szCs w:val="24"/>
          <w:lang w:val="en-US" w:eastAsia="zh" w:bidi="ar-SA"/>
        </w:rPr>
        <w:t>7</w:t>
      </w:r>
      <w:r>
        <w:rPr>
          <w:rFonts w:hint="eastAsia" w:eastAsia="宋体" w:cs="宋体"/>
          <w:color w:val="000000"/>
          <w:kern w:val="2"/>
          <w:sz w:val="24"/>
          <w:szCs w:val="24"/>
          <w:lang w:val="en-US" w:eastAsia="zh-CN" w:bidi="ar-SA"/>
        </w:rPr>
        <w:t>万</w:t>
      </w:r>
      <w:r>
        <w:rPr>
          <w:rFonts w:hint="eastAsia" w:ascii="宋体" w:hAnsi="宋体" w:eastAsia="宋体" w:cs="宋体"/>
          <w:color w:val="000000"/>
          <w:kern w:val="2"/>
          <w:sz w:val="24"/>
          <w:szCs w:val="24"/>
          <w:lang w:val="en-US" w:eastAsia="zh" w:bidi="ar-SA"/>
        </w:rPr>
        <w:t>元。</w:t>
      </w:r>
    </w:p>
    <w:p w14:paraId="4A745700">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 w:bidi="ar-SA"/>
        </w:rPr>
      </w:pPr>
      <w:r>
        <w:rPr>
          <w:rFonts w:hint="eastAsia" w:ascii="宋体" w:hAnsi="宋体" w:eastAsia="宋体" w:cs="宋体"/>
          <w:color w:val="000000"/>
          <w:kern w:val="2"/>
          <w:sz w:val="24"/>
          <w:szCs w:val="24"/>
          <w:lang w:val="en-US" w:eastAsia="zh" w:bidi="ar-SA"/>
        </w:rPr>
        <w:t>2023 年部门预算总支出2</w:t>
      </w:r>
      <w:r>
        <w:rPr>
          <w:rFonts w:hint="eastAsia" w:eastAsia="宋体" w:cs="宋体"/>
          <w:color w:val="000000"/>
          <w:kern w:val="2"/>
          <w:sz w:val="24"/>
          <w:szCs w:val="24"/>
          <w:lang w:val="en-US" w:eastAsia="zh-CN" w:bidi="ar-SA"/>
        </w:rPr>
        <w:t>3,116.02万</w:t>
      </w:r>
      <w:r>
        <w:rPr>
          <w:rFonts w:hint="eastAsia" w:ascii="宋体" w:hAnsi="宋体" w:eastAsia="宋体" w:cs="宋体"/>
          <w:color w:val="000000"/>
          <w:kern w:val="2"/>
          <w:sz w:val="24"/>
          <w:szCs w:val="24"/>
          <w:lang w:val="en-US" w:eastAsia="zh" w:bidi="ar-SA"/>
        </w:rPr>
        <w:t>元。财政拨款安排支出 2</w:t>
      </w:r>
      <w:r>
        <w:rPr>
          <w:rFonts w:hint="eastAsia" w:eastAsia="宋体" w:cs="宋体"/>
          <w:color w:val="000000"/>
          <w:kern w:val="2"/>
          <w:sz w:val="24"/>
          <w:szCs w:val="24"/>
          <w:lang w:val="en-US" w:eastAsia="zh-CN" w:bidi="ar-SA"/>
        </w:rPr>
        <w:t>3,1</w:t>
      </w:r>
      <w:r>
        <w:rPr>
          <w:rFonts w:hint="eastAsia" w:ascii="宋体" w:hAnsi="宋体" w:eastAsia="宋体" w:cs="宋体"/>
          <w:color w:val="000000"/>
          <w:kern w:val="2"/>
          <w:sz w:val="24"/>
          <w:szCs w:val="24"/>
          <w:lang w:val="en-US" w:eastAsia="zh" w:bidi="ar-SA"/>
        </w:rPr>
        <w:t>1</w:t>
      </w:r>
      <w:r>
        <w:rPr>
          <w:rFonts w:hint="eastAsia" w:eastAsia="宋体" w:cs="宋体"/>
          <w:color w:val="000000"/>
          <w:kern w:val="2"/>
          <w:sz w:val="24"/>
          <w:szCs w:val="24"/>
          <w:lang w:val="en-US" w:eastAsia="zh-CN" w:bidi="ar-SA"/>
        </w:rPr>
        <w:t>6.02万</w:t>
      </w:r>
      <w:r>
        <w:rPr>
          <w:rFonts w:hint="eastAsia" w:ascii="宋体" w:hAnsi="宋体" w:eastAsia="宋体" w:cs="宋体"/>
          <w:color w:val="000000"/>
          <w:kern w:val="2"/>
          <w:sz w:val="24"/>
          <w:szCs w:val="24"/>
          <w:lang w:val="en-US" w:eastAsia="zh" w:bidi="ar-SA"/>
        </w:rPr>
        <w:t>元，其中</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 w:bidi="ar-SA"/>
        </w:rPr>
        <w:t>基本支出1</w:t>
      </w:r>
      <w:r>
        <w:rPr>
          <w:rFonts w:hint="eastAsia" w:eastAsia="宋体" w:cs="宋体"/>
          <w:color w:val="000000"/>
          <w:kern w:val="2"/>
          <w:sz w:val="24"/>
          <w:szCs w:val="24"/>
          <w:lang w:val="en-US" w:eastAsia="zh-CN" w:bidi="ar-SA"/>
        </w:rPr>
        <w:t>2,1</w:t>
      </w:r>
      <w:r>
        <w:rPr>
          <w:rFonts w:hint="eastAsia" w:ascii="宋体" w:hAnsi="宋体" w:eastAsia="宋体" w:cs="宋体"/>
          <w:color w:val="000000"/>
          <w:kern w:val="2"/>
          <w:sz w:val="24"/>
          <w:szCs w:val="24"/>
          <w:lang w:val="en-US" w:eastAsia="zh" w:bidi="ar-SA"/>
        </w:rPr>
        <w:t>1</w:t>
      </w:r>
      <w:r>
        <w:rPr>
          <w:rFonts w:hint="eastAsia" w:eastAsia="宋体" w:cs="宋体"/>
          <w:color w:val="000000"/>
          <w:kern w:val="2"/>
          <w:sz w:val="24"/>
          <w:szCs w:val="24"/>
          <w:lang w:val="en-US" w:eastAsia="zh-CN" w:bidi="ar-SA"/>
        </w:rPr>
        <w:t>6.92万</w:t>
      </w:r>
      <w:r>
        <w:rPr>
          <w:rFonts w:hint="eastAsia" w:ascii="宋体" w:hAnsi="宋体" w:eastAsia="宋体" w:cs="宋体"/>
          <w:color w:val="000000"/>
          <w:kern w:val="2"/>
          <w:sz w:val="24"/>
          <w:szCs w:val="24"/>
          <w:lang w:val="en-US" w:eastAsia="zh" w:bidi="ar-SA"/>
        </w:rPr>
        <w:t>元，项目支出</w:t>
      </w:r>
      <w:r>
        <w:rPr>
          <w:rFonts w:hint="eastAsia" w:ascii="宋体" w:hAnsi="宋体" w:eastAsia="宋体" w:cs="宋体"/>
          <w:color w:val="000000"/>
          <w:kern w:val="2"/>
          <w:sz w:val="24"/>
          <w:szCs w:val="24"/>
          <w:lang w:val="en" w:eastAsia="zh" w:bidi="ar-SA"/>
        </w:rPr>
        <w:t>1</w:t>
      </w:r>
      <w:r>
        <w:rPr>
          <w:rFonts w:hint="eastAsia" w:eastAsia="宋体" w:cs="宋体"/>
          <w:color w:val="000000"/>
          <w:kern w:val="2"/>
          <w:sz w:val="24"/>
          <w:szCs w:val="24"/>
          <w:lang w:val="en-US" w:eastAsia="zh-CN" w:bidi="ar-SA"/>
        </w:rPr>
        <w:t>0,9</w:t>
      </w:r>
      <w:r>
        <w:rPr>
          <w:rFonts w:hint="eastAsia" w:ascii="宋体" w:hAnsi="宋体" w:eastAsia="宋体" w:cs="宋体"/>
          <w:color w:val="000000"/>
          <w:kern w:val="2"/>
          <w:sz w:val="24"/>
          <w:szCs w:val="24"/>
          <w:lang w:val="en" w:eastAsia="zh" w:bidi="ar-SA"/>
        </w:rPr>
        <w:t>9</w:t>
      </w:r>
      <w:r>
        <w:rPr>
          <w:rFonts w:hint="eastAsia" w:eastAsia="宋体" w:cs="宋体"/>
          <w:color w:val="000000"/>
          <w:kern w:val="2"/>
          <w:sz w:val="24"/>
          <w:szCs w:val="24"/>
          <w:lang w:val="en-US" w:eastAsia="zh-CN" w:bidi="ar-SA"/>
        </w:rPr>
        <w:t>9.1</w:t>
      </w:r>
      <w:r>
        <w:rPr>
          <w:rFonts w:hint="eastAsia" w:ascii="宋体" w:hAnsi="宋体" w:eastAsia="宋体" w:cs="宋体"/>
          <w:color w:val="000000"/>
          <w:kern w:val="2"/>
          <w:sz w:val="24"/>
          <w:szCs w:val="24"/>
          <w:lang w:val="en" w:eastAsia="zh" w:bidi="ar-SA"/>
        </w:rPr>
        <w:t>0</w:t>
      </w:r>
      <w:r>
        <w:rPr>
          <w:rFonts w:hint="eastAsia" w:eastAsia="宋体" w:cs="宋体"/>
          <w:color w:val="000000"/>
          <w:kern w:val="2"/>
          <w:sz w:val="24"/>
          <w:szCs w:val="24"/>
          <w:lang w:val="en-US" w:eastAsia="zh-CN" w:bidi="ar-SA"/>
        </w:rPr>
        <w:t>万</w:t>
      </w:r>
      <w:r>
        <w:rPr>
          <w:rFonts w:hint="eastAsia" w:ascii="宋体" w:hAnsi="宋体" w:eastAsia="宋体" w:cs="宋体"/>
          <w:color w:val="000000"/>
          <w:kern w:val="2"/>
          <w:sz w:val="24"/>
          <w:szCs w:val="24"/>
          <w:lang w:val="en-US" w:eastAsia="zh" w:bidi="ar-SA"/>
        </w:rPr>
        <w:t>元</w:t>
      </w:r>
      <w:r>
        <w:rPr>
          <w:rFonts w:hint="eastAsia" w:eastAsia="宋体" w:cs="宋体"/>
          <w:color w:val="000000"/>
          <w:kern w:val="2"/>
          <w:sz w:val="24"/>
          <w:szCs w:val="24"/>
          <w:lang w:val="en-US" w:eastAsia="zh-CN" w:bidi="ar-SA"/>
        </w:rPr>
        <w:t>。</w:t>
      </w:r>
      <w:r>
        <w:rPr>
          <w:rFonts w:hint="eastAsia" w:ascii="宋体" w:hAnsi="宋体" w:eastAsia="宋体" w:cs="宋体"/>
          <w:color w:val="000000"/>
          <w:kern w:val="2"/>
          <w:sz w:val="24"/>
          <w:szCs w:val="24"/>
          <w:lang w:val="en-US" w:eastAsia="zh" w:bidi="ar-SA"/>
        </w:rPr>
        <w:t>年末</w:t>
      </w:r>
      <w:r>
        <w:rPr>
          <w:rFonts w:hint="eastAsia" w:eastAsia="宋体" w:cs="宋体"/>
          <w:color w:val="000000"/>
          <w:kern w:val="2"/>
          <w:sz w:val="24"/>
          <w:szCs w:val="24"/>
          <w:lang w:val="en-US" w:eastAsia="zh-CN" w:bidi="ar-SA"/>
        </w:rPr>
        <w:t>基本账户留存</w:t>
      </w:r>
      <w:r>
        <w:rPr>
          <w:rFonts w:hint="eastAsia" w:ascii="宋体" w:hAnsi="宋体" w:eastAsia="宋体" w:cs="宋体"/>
          <w:color w:val="000000"/>
          <w:kern w:val="2"/>
          <w:sz w:val="24"/>
          <w:szCs w:val="24"/>
          <w:lang w:val="en-US" w:eastAsia="zh" w:bidi="ar-SA"/>
        </w:rPr>
        <w:t>数9</w:t>
      </w:r>
      <w:r>
        <w:rPr>
          <w:rFonts w:hint="eastAsia" w:eastAsia="宋体" w:cs="宋体"/>
          <w:color w:val="000000"/>
          <w:kern w:val="2"/>
          <w:sz w:val="24"/>
          <w:szCs w:val="24"/>
          <w:lang w:val="en-US" w:eastAsia="zh-CN" w:bidi="ar-SA"/>
        </w:rPr>
        <w:t>3.1</w:t>
      </w:r>
      <w:r>
        <w:rPr>
          <w:rFonts w:hint="eastAsia" w:ascii="宋体" w:hAnsi="宋体" w:eastAsia="宋体" w:cs="宋体"/>
          <w:color w:val="000000"/>
          <w:kern w:val="2"/>
          <w:sz w:val="24"/>
          <w:szCs w:val="24"/>
          <w:lang w:val="en-US" w:eastAsia="zh" w:bidi="ar-SA"/>
        </w:rPr>
        <w:t>7</w:t>
      </w:r>
      <w:r>
        <w:rPr>
          <w:rFonts w:hint="eastAsia" w:eastAsia="宋体" w:cs="宋体"/>
          <w:color w:val="000000"/>
          <w:kern w:val="2"/>
          <w:sz w:val="24"/>
          <w:szCs w:val="24"/>
          <w:lang w:val="en-US" w:eastAsia="zh-CN" w:bidi="ar-SA"/>
        </w:rPr>
        <w:t>万</w:t>
      </w:r>
      <w:r>
        <w:rPr>
          <w:rFonts w:hint="eastAsia" w:ascii="宋体" w:hAnsi="宋体" w:eastAsia="宋体" w:cs="宋体"/>
          <w:color w:val="000000"/>
          <w:kern w:val="2"/>
          <w:sz w:val="24"/>
          <w:szCs w:val="24"/>
          <w:lang w:val="en-US" w:eastAsia="zh" w:bidi="ar-SA"/>
        </w:rPr>
        <w:t>元。</w:t>
      </w:r>
    </w:p>
    <w:p w14:paraId="308EFC8F">
      <w:pPr>
        <w:keepNext w:val="0"/>
        <w:keepLines w:val="0"/>
        <w:widowControl w:val="0"/>
        <w:suppressLineNumbers w:val="0"/>
        <w:autoSpaceDE/>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2.决算情况</w:t>
      </w:r>
    </w:p>
    <w:p w14:paraId="30A33F04">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 w:bidi="ar-SA"/>
        </w:rPr>
        <w:t>市公安局2023年</w:t>
      </w:r>
      <w:r>
        <w:rPr>
          <w:rFonts w:hint="eastAsia" w:eastAsia="宋体" w:cs="宋体"/>
          <w:color w:val="000000"/>
          <w:kern w:val="2"/>
          <w:sz w:val="24"/>
          <w:szCs w:val="24"/>
          <w:lang w:val="en-US" w:eastAsia="zh-CN" w:bidi="ar-SA"/>
        </w:rPr>
        <w:t>决算</w:t>
      </w:r>
      <w:r>
        <w:rPr>
          <w:rFonts w:hint="eastAsia" w:ascii="宋体" w:hAnsi="宋体" w:eastAsia="宋体" w:cs="宋体"/>
          <w:color w:val="000000"/>
          <w:kern w:val="2"/>
          <w:sz w:val="24"/>
          <w:szCs w:val="24"/>
          <w:lang w:val="en-US" w:eastAsia="zh" w:bidi="ar-SA"/>
        </w:rPr>
        <w:t>数2</w:t>
      </w:r>
      <w:r>
        <w:rPr>
          <w:rFonts w:hint="eastAsia" w:eastAsia="宋体" w:cs="宋体"/>
          <w:color w:val="000000"/>
          <w:kern w:val="2"/>
          <w:sz w:val="24"/>
          <w:szCs w:val="24"/>
          <w:lang w:val="en-US" w:eastAsia="zh-CN" w:bidi="ar-SA"/>
        </w:rPr>
        <w:t>3,116.02万</w:t>
      </w:r>
      <w:r>
        <w:rPr>
          <w:rFonts w:hint="eastAsia" w:ascii="宋体" w:hAnsi="宋体" w:eastAsia="宋体" w:cs="宋体"/>
          <w:color w:val="000000"/>
          <w:kern w:val="2"/>
          <w:sz w:val="24"/>
          <w:szCs w:val="24"/>
          <w:lang w:val="en-US" w:eastAsia="zh" w:bidi="ar-SA"/>
        </w:rPr>
        <w:t>元（</w:t>
      </w:r>
      <w:r>
        <w:rPr>
          <w:rFonts w:hint="eastAsia" w:eastAsia="宋体" w:cs="宋体"/>
          <w:color w:val="000000"/>
          <w:kern w:val="2"/>
          <w:sz w:val="24"/>
          <w:szCs w:val="24"/>
          <w:lang w:val="en-US" w:eastAsia="zh-CN" w:bidi="ar-SA"/>
        </w:rPr>
        <w:t>不</w:t>
      </w:r>
      <w:r>
        <w:rPr>
          <w:rFonts w:hint="eastAsia" w:ascii="宋体" w:hAnsi="宋体" w:eastAsia="宋体" w:cs="宋体"/>
          <w:color w:val="000000"/>
          <w:kern w:val="2"/>
          <w:sz w:val="24"/>
          <w:szCs w:val="24"/>
          <w:lang w:val="en-US" w:eastAsia="zh" w:bidi="ar-SA"/>
        </w:rPr>
        <w:t>包含年末</w:t>
      </w:r>
      <w:r>
        <w:rPr>
          <w:rFonts w:hint="eastAsia" w:eastAsia="宋体" w:cs="宋体"/>
          <w:color w:val="000000"/>
          <w:kern w:val="2"/>
          <w:sz w:val="24"/>
          <w:szCs w:val="24"/>
          <w:lang w:val="en-US" w:eastAsia="zh-CN" w:bidi="ar-SA"/>
        </w:rPr>
        <w:t>基本账户留存</w:t>
      </w:r>
      <w:r>
        <w:rPr>
          <w:rFonts w:hint="eastAsia" w:ascii="宋体" w:hAnsi="宋体" w:eastAsia="宋体" w:cs="宋体"/>
          <w:color w:val="000000"/>
          <w:kern w:val="2"/>
          <w:sz w:val="24"/>
          <w:szCs w:val="24"/>
          <w:lang w:val="en-US" w:eastAsia="zh" w:bidi="ar-SA"/>
        </w:rPr>
        <w:t>数9</w:t>
      </w:r>
      <w:r>
        <w:rPr>
          <w:rFonts w:hint="eastAsia" w:eastAsia="宋体" w:cs="宋体"/>
          <w:color w:val="000000"/>
          <w:kern w:val="2"/>
          <w:sz w:val="24"/>
          <w:szCs w:val="24"/>
          <w:lang w:val="en-US" w:eastAsia="zh-CN" w:bidi="ar-SA"/>
        </w:rPr>
        <w:t>3.1</w:t>
      </w:r>
      <w:r>
        <w:rPr>
          <w:rFonts w:hint="eastAsia" w:ascii="宋体" w:hAnsi="宋体" w:eastAsia="宋体" w:cs="宋体"/>
          <w:color w:val="000000"/>
          <w:kern w:val="2"/>
          <w:sz w:val="24"/>
          <w:szCs w:val="24"/>
          <w:lang w:val="en-US" w:eastAsia="zh" w:bidi="ar-SA"/>
        </w:rPr>
        <w:t>7</w:t>
      </w:r>
      <w:r>
        <w:rPr>
          <w:rFonts w:hint="eastAsia" w:eastAsia="宋体" w:cs="宋体"/>
          <w:color w:val="000000"/>
          <w:kern w:val="2"/>
          <w:sz w:val="24"/>
          <w:szCs w:val="24"/>
          <w:lang w:val="en-US" w:eastAsia="zh-CN" w:bidi="ar-SA"/>
        </w:rPr>
        <w:t>万</w:t>
      </w:r>
      <w:r>
        <w:rPr>
          <w:rFonts w:hint="eastAsia" w:ascii="宋体" w:hAnsi="宋体" w:eastAsia="宋体" w:cs="宋体"/>
          <w:color w:val="000000"/>
          <w:kern w:val="2"/>
          <w:sz w:val="24"/>
          <w:szCs w:val="24"/>
          <w:lang w:val="en-US" w:eastAsia="zh" w:bidi="ar-SA"/>
        </w:rPr>
        <w:t>元），执行率</w:t>
      </w:r>
      <w:r>
        <w:rPr>
          <w:rFonts w:hint="eastAsia" w:ascii="宋体" w:hAnsi="宋体" w:eastAsia="宋体" w:cs="宋体"/>
          <w:color w:val="000000"/>
          <w:kern w:val="2"/>
          <w:sz w:val="24"/>
          <w:szCs w:val="24"/>
          <w:lang w:val="en-US" w:eastAsia="zh-CN" w:bidi="ar-SA"/>
        </w:rPr>
        <w:t>79.27</w:t>
      </w:r>
      <w:r>
        <w:rPr>
          <w:rFonts w:hint="eastAsia" w:ascii="宋体" w:hAnsi="宋体" w:eastAsia="宋体" w:cs="宋体"/>
          <w:color w:val="000000"/>
          <w:kern w:val="2"/>
          <w:sz w:val="24"/>
          <w:szCs w:val="24"/>
          <w:lang w:val="en-US" w:eastAsia="zh" w:bidi="ar-SA"/>
        </w:rPr>
        <w:t>%。预算调整及执行情况见表</w:t>
      </w:r>
      <w:r>
        <w:rPr>
          <w:rFonts w:hint="eastAsia" w:eastAsia="宋体" w:cs="宋体"/>
          <w:color w:val="000000"/>
          <w:kern w:val="2"/>
          <w:sz w:val="24"/>
          <w:szCs w:val="24"/>
          <w:lang w:val="en-US" w:eastAsia="zh-CN" w:bidi="ar-SA"/>
        </w:rPr>
        <w:t>1。</w:t>
      </w:r>
    </w:p>
    <w:p w14:paraId="4FBE2890">
      <w:pPr>
        <w:pStyle w:val="9"/>
        <w:keepNext w:val="0"/>
        <w:keepLines w:val="0"/>
        <w:widowControl/>
        <w:suppressLineNumbers w:val="0"/>
        <w:autoSpaceDE w:val="0"/>
        <w:autoSpaceDN/>
        <w:spacing w:before="165" w:beforeLines="50" w:beforeAutospacing="0" w:after="165" w:afterLines="50" w:afterAutospacing="0" w:line="360" w:lineRule="auto"/>
        <w:ind w:left="0" w:right="0" w:rightChars="0"/>
        <w:jc w:val="center"/>
        <w:rPr>
          <w:rFonts w:hint="eastAsia" w:ascii="宋体" w:hAnsi="宋体" w:eastAsia="宋体" w:cs="宋体"/>
          <w:b/>
          <w:bCs/>
          <w:color w:val="000000"/>
          <w:sz w:val="24"/>
          <w:szCs w:val="24"/>
          <w:lang w:val="en-US" w:eastAsia="zh" w:bidi="ar-SA"/>
        </w:rPr>
      </w:pPr>
      <w:r>
        <w:rPr>
          <w:rFonts w:hint="eastAsia" w:ascii="宋体" w:hAnsi="宋体" w:eastAsia="宋体" w:cs="宋体"/>
          <w:b/>
          <w:bCs/>
          <w:color w:val="000000"/>
          <w:sz w:val="24"/>
          <w:szCs w:val="24"/>
          <w:lang w:val="en-US" w:eastAsia="zh" w:bidi="ar-SA"/>
        </w:rPr>
        <w:t>表1:2023年林芝市公安局部门预算调整及执行情况表 单位</w:t>
      </w:r>
      <w:r>
        <w:rPr>
          <w:rFonts w:hint="eastAsia" w:ascii="宋体" w:hAnsi="宋体" w:eastAsia="宋体" w:cs="宋体"/>
          <w:b/>
          <w:bCs/>
          <w:color w:val="000000"/>
          <w:sz w:val="24"/>
          <w:szCs w:val="24"/>
          <w:lang w:val="en-US" w:eastAsia="zh-CN" w:bidi="ar-SA"/>
        </w:rPr>
        <w:t>：万</w:t>
      </w:r>
      <w:r>
        <w:rPr>
          <w:rFonts w:hint="eastAsia" w:ascii="宋体" w:hAnsi="宋体" w:eastAsia="宋体" w:cs="宋体"/>
          <w:b/>
          <w:bCs/>
          <w:color w:val="000000"/>
          <w:sz w:val="24"/>
          <w:szCs w:val="24"/>
          <w:lang w:val="en-US" w:eastAsia="zh" w:bidi="ar-SA"/>
        </w:rPr>
        <w:t>元</w:t>
      </w:r>
    </w:p>
    <w:tbl>
      <w:tblPr>
        <w:tblStyle w:val="11"/>
        <w:tblW w:w="9488" w:type="dxa"/>
        <w:tblInd w:w="-79"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412"/>
        <w:gridCol w:w="1716"/>
        <w:gridCol w:w="1740"/>
        <w:gridCol w:w="1776"/>
        <w:gridCol w:w="1740"/>
        <w:gridCol w:w="1104"/>
      </w:tblGrid>
      <w:tr w14:paraId="04B185E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1412" w:type="dxa"/>
            <w:vMerge w:val="restart"/>
            <w:tcBorders>
              <w:tl2br w:val="nil"/>
              <w:tr2bl w:val="nil"/>
            </w:tcBorders>
            <w:vAlign w:val="center"/>
          </w:tcPr>
          <w:p w14:paraId="14F72380">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 w:bidi="ar-SA"/>
              </w:rPr>
            </w:pPr>
            <w:bookmarkStart w:id="21" w:name="_Toc25853"/>
            <w:bookmarkStart w:id="22" w:name="_Toc9311"/>
            <w:bookmarkStart w:id="23" w:name="_Toc26750"/>
            <w:bookmarkStart w:id="24" w:name="_Toc21939"/>
            <w:r>
              <w:rPr>
                <w:rFonts w:hint="eastAsia" w:ascii="宋体" w:hAnsi="宋体" w:eastAsia="宋体" w:cs="宋体"/>
                <w:color w:val="000000"/>
                <w:sz w:val="21"/>
                <w:szCs w:val="21"/>
                <w:vertAlign w:val="baseline"/>
                <w:lang w:val="en" w:eastAsia="zh" w:bidi="ar-SA"/>
              </w:rPr>
              <w:t>项目名称</w:t>
            </w:r>
          </w:p>
        </w:tc>
        <w:tc>
          <w:tcPr>
            <w:tcW w:w="5232" w:type="dxa"/>
            <w:gridSpan w:val="3"/>
            <w:tcBorders>
              <w:tl2br w:val="nil"/>
              <w:tr2bl w:val="nil"/>
            </w:tcBorders>
            <w:vAlign w:val="center"/>
          </w:tcPr>
          <w:p w14:paraId="6FC92DD9">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 w:bidi="ar-SA"/>
              </w:rPr>
            </w:pPr>
            <w:r>
              <w:rPr>
                <w:rFonts w:hint="eastAsia" w:ascii="宋体" w:hAnsi="宋体" w:eastAsia="宋体" w:cs="宋体"/>
                <w:color w:val="000000"/>
                <w:sz w:val="21"/>
                <w:szCs w:val="21"/>
                <w:vertAlign w:val="baseline"/>
                <w:lang w:val="en" w:eastAsia="zh" w:bidi="ar-SA"/>
              </w:rPr>
              <w:t>部门预算财政拨款</w:t>
            </w:r>
          </w:p>
        </w:tc>
        <w:tc>
          <w:tcPr>
            <w:tcW w:w="1740" w:type="dxa"/>
            <w:vMerge w:val="restart"/>
            <w:tcBorders>
              <w:tl2br w:val="nil"/>
              <w:tr2bl w:val="nil"/>
            </w:tcBorders>
            <w:vAlign w:val="center"/>
          </w:tcPr>
          <w:p w14:paraId="63485883">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 w:bidi="ar-SA"/>
              </w:rPr>
            </w:pPr>
            <w:r>
              <w:rPr>
                <w:rFonts w:hint="eastAsia" w:ascii="宋体" w:hAnsi="宋体" w:eastAsia="宋体" w:cs="宋体"/>
                <w:color w:val="000000"/>
                <w:sz w:val="21"/>
                <w:szCs w:val="21"/>
                <w:vertAlign w:val="baseline"/>
                <w:lang w:val="en" w:eastAsia="zh" w:bidi="ar-SA"/>
              </w:rPr>
              <w:t>决算数</w:t>
            </w:r>
          </w:p>
        </w:tc>
        <w:tc>
          <w:tcPr>
            <w:tcW w:w="1104" w:type="dxa"/>
            <w:vMerge w:val="restart"/>
            <w:tcBorders>
              <w:tl2br w:val="nil"/>
              <w:tr2bl w:val="nil"/>
            </w:tcBorders>
            <w:vAlign w:val="center"/>
          </w:tcPr>
          <w:p w14:paraId="78A534DF">
            <w:pPr>
              <w:jc w:val="center"/>
              <w:rPr>
                <w:rFonts w:hint="eastAsia" w:ascii="宋体" w:hAnsi="宋体" w:eastAsia="宋体" w:cs="宋体"/>
                <w:b/>
                <w:bCs/>
                <w:color w:val="000000"/>
                <w:kern w:val="2"/>
                <w:sz w:val="21"/>
                <w:szCs w:val="21"/>
                <w:lang w:val="en" w:eastAsia="zh" w:bidi="ar-SA"/>
              </w:rPr>
            </w:pPr>
            <w:r>
              <w:rPr>
                <w:rFonts w:hint="eastAsia" w:ascii="宋体" w:hAnsi="宋体" w:eastAsia="宋体" w:cs="宋体"/>
                <w:color w:val="000000"/>
                <w:kern w:val="0"/>
                <w:sz w:val="21"/>
                <w:szCs w:val="21"/>
                <w:vertAlign w:val="baseline"/>
                <w:lang w:val="en" w:eastAsia="zh" w:bidi="ar-SA"/>
              </w:rPr>
              <w:t>执行率</w:t>
            </w:r>
          </w:p>
        </w:tc>
      </w:tr>
      <w:tr w14:paraId="761270F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1412" w:type="dxa"/>
            <w:vMerge w:val="continue"/>
            <w:tcBorders>
              <w:tl2br w:val="nil"/>
              <w:tr2bl w:val="nil"/>
            </w:tcBorders>
            <w:vAlign w:val="center"/>
          </w:tcPr>
          <w:p w14:paraId="46067D42">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CN" w:bidi="ar-SA"/>
              </w:rPr>
            </w:pPr>
          </w:p>
        </w:tc>
        <w:tc>
          <w:tcPr>
            <w:tcW w:w="1716" w:type="dxa"/>
            <w:tcBorders>
              <w:tl2br w:val="nil"/>
              <w:tr2bl w:val="nil"/>
            </w:tcBorders>
            <w:vAlign w:val="center"/>
          </w:tcPr>
          <w:p w14:paraId="1E4C06C0">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 w:bidi="ar-SA"/>
              </w:rPr>
            </w:pPr>
            <w:r>
              <w:rPr>
                <w:rFonts w:hint="eastAsia" w:ascii="宋体" w:hAnsi="宋体" w:eastAsia="宋体" w:cs="宋体"/>
                <w:color w:val="000000"/>
                <w:sz w:val="21"/>
                <w:szCs w:val="21"/>
                <w:vertAlign w:val="baseline"/>
                <w:lang w:val="en" w:eastAsia="zh" w:bidi="ar-SA"/>
              </w:rPr>
              <w:t>年初预算</w:t>
            </w:r>
          </w:p>
        </w:tc>
        <w:tc>
          <w:tcPr>
            <w:tcW w:w="1740" w:type="dxa"/>
            <w:tcBorders>
              <w:tl2br w:val="nil"/>
              <w:tr2bl w:val="nil"/>
            </w:tcBorders>
            <w:vAlign w:val="center"/>
          </w:tcPr>
          <w:p w14:paraId="35914F6B">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 w:bidi="ar-SA"/>
              </w:rPr>
            </w:pPr>
            <w:r>
              <w:rPr>
                <w:rFonts w:hint="eastAsia" w:ascii="宋体" w:hAnsi="宋体" w:eastAsia="宋体" w:cs="宋体"/>
                <w:color w:val="000000"/>
                <w:sz w:val="21"/>
                <w:szCs w:val="21"/>
                <w:vertAlign w:val="baseline"/>
                <w:lang w:val="en" w:eastAsia="zh" w:bidi="ar-SA"/>
              </w:rPr>
              <w:t>调整预算</w:t>
            </w:r>
          </w:p>
        </w:tc>
        <w:tc>
          <w:tcPr>
            <w:tcW w:w="1776" w:type="dxa"/>
            <w:tcBorders>
              <w:tl2br w:val="nil"/>
              <w:tr2bl w:val="nil"/>
            </w:tcBorders>
            <w:vAlign w:val="center"/>
          </w:tcPr>
          <w:p w14:paraId="0EF7D85C">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 w:bidi="ar-SA"/>
              </w:rPr>
            </w:pPr>
            <w:r>
              <w:rPr>
                <w:rFonts w:hint="eastAsia" w:ascii="宋体" w:hAnsi="宋体" w:eastAsia="宋体" w:cs="宋体"/>
                <w:color w:val="000000"/>
                <w:sz w:val="21"/>
                <w:szCs w:val="21"/>
                <w:vertAlign w:val="baseline"/>
                <w:lang w:val="en" w:eastAsia="zh" w:bidi="ar-SA"/>
              </w:rPr>
              <w:t>调整后预算数</w:t>
            </w:r>
          </w:p>
        </w:tc>
        <w:tc>
          <w:tcPr>
            <w:tcW w:w="1740" w:type="dxa"/>
            <w:vMerge w:val="continue"/>
            <w:tcBorders>
              <w:tl2br w:val="nil"/>
              <w:tr2bl w:val="nil"/>
            </w:tcBorders>
            <w:vAlign w:val="center"/>
          </w:tcPr>
          <w:p w14:paraId="7580E18B">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CN" w:bidi="ar-SA"/>
              </w:rPr>
            </w:pPr>
          </w:p>
        </w:tc>
        <w:tc>
          <w:tcPr>
            <w:tcW w:w="1104" w:type="dxa"/>
            <w:vMerge w:val="continue"/>
            <w:tcBorders>
              <w:tl2br w:val="nil"/>
              <w:tr2bl w:val="nil"/>
            </w:tcBorders>
            <w:vAlign w:val="center"/>
          </w:tcPr>
          <w:p w14:paraId="3C3F158A">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360" w:lineRule="auto"/>
              <w:jc w:val="center"/>
              <w:textAlignment w:val="auto"/>
              <w:outlineLvl w:val="9"/>
              <w:rPr>
                <w:rFonts w:hint="eastAsia" w:ascii="宋体" w:hAnsi="宋体" w:eastAsia="宋体" w:cs="宋体"/>
                <w:b/>
                <w:bCs/>
                <w:sz w:val="21"/>
                <w:szCs w:val="21"/>
                <w:vertAlign w:val="baseline"/>
                <w:lang w:val="en"/>
              </w:rPr>
            </w:pPr>
          </w:p>
        </w:tc>
      </w:tr>
      <w:tr w14:paraId="6B736D4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1412" w:type="dxa"/>
            <w:tcBorders>
              <w:tl2br w:val="nil"/>
              <w:tr2bl w:val="nil"/>
            </w:tcBorders>
            <w:vAlign w:val="center"/>
          </w:tcPr>
          <w:p w14:paraId="0B075C08">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 w:bidi="ar-SA"/>
              </w:rPr>
            </w:pPr>
            <w:r>
              <w:rPr>
                <w:rFonts w:hint="eastAsia" w:ascii="宋体" w:hAnsi="宋体" w:eastAsia="宋体" w:cs="宋体"/>
                <w:color w:val="000000"/>
                <w:sz w:val="21"/>
                <w:szCs w:val="21"/>
                <w:vertAlign w:val="baseline"/>
                <w:lang w:val="en" w:eastAsia="zh" w:bidi="ar-SA"/>
              </w:rPr>
              <w:t>一、基本支出</w:t>
            </w:r>
          </w:p>
        </w:tc>
        <w:tc>
          <w:tcPr>
            <w:tcW w:w="1716" w:type="dxa"/>
            <w:tcBorders>
              <w:tl2br w:val="nil"/>
              <w:tr2bl w:val="nil"/>
            </w:tcBorders>
            <w:vAlign w:val="center"/>
          </w:tcPr>
          <w:p w14:paraId="3E6B6BF0">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 w:bidi="ar-SA"/>
              </w:rPr>
            </w:pPr>
            <w:r>
              <w:rPr>
                <w:rFonts w:hint="default" w:ascii="Times New Roman" w:hAnsi="Times New Roman" w:eastAsia="宋体" w:cs="Times New Roman"/>
                <w:color w:val="000000"/>
                <w:sz w:val="21"/>
                <w:szCs w:val="21"/>
                <w:vertAlign w:val="baseline"/>
                <w:lang w:val="en-US" w:eastAsia="zh" w:bidi="ar-SA"/>
              </w:rPr>
              <w:t>12,402.90</w:t>
            </w:r>
          </w:p>
        </w:tc>
        <w:tc>
          <w:tcPr>
            <w:tcW w:w="1740" w:type="dxa"/>
            <w:tcBorders>
              <w:tl2br w:val="nil"/>
              <w:tr2bl w:val="nil"/>
            </w:tcBorders>
            <w:vAlign w:val="center"/>
          </w:tcPr>
          <w:p w14:paraId="1525EE0D">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 w:bidi="ar-SA"/>
              </w:rPr>
            </w:pPr>
            <w:r>
              <w:rPr>
                <w:rFonts w:hint="default" w:ascii="Times New Roman" w:hAnsi="Times New Roman" w:eastAsia="宋体" w:cs="Times New Roman"/>
                <w:color w:val="000000"/>
                <w:sz w:val="21"/>
                <w:szCs w:val="21"/>
                <w:vertAlign w:val="baseline"/>
                <w:lang w:val="en-US" w:eastAsia="zh" w:bidi="ar-SA"/>
              </w:rPr>
              <w:t>-285.98</w:t>
            </w:r>
          </w:p>
        </w:tc>
        <w:tc>
          <w:tcPr>
            <w:tcW w:w="1776" w:type="dxa"/>
            <w:tcBorders>
              <w:tl2br w:val="nil"/>
              <w:tr2bl w:val="nil"/>
            </w:tcBorders>
            <w:vAlign w:val="center"/>
          </w:tcPr>
          <w:p w14:paraId="003226D2">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 w:bidi="ar-SA"/>
              </w:rPr>
            </w:pPr>
            <w:r>
              <w:rPr>
                <w:rFonts w:hint="default" w:ascii="Times New Roman" w:hAnsi="Times New Roman" w:eastAsia="宋体" w:cs="Times New Roman"/>
                <w:color w:val="000000"/>
                <w:sz w:val="21"/>
                <w:szCs w:val="21"/>
                <w:vertAlign w:val="baseline"/>
                <w:lang w:val="en-US" w:eastAsia="zh" w:bidi="ar-SA"/>
              </w:rPr>
              <w:t>12,116.92</w:t>
            </w:r>
          </w:p>
        </w:tc>
        <w:tc>
          <w:tcPr>
            <w:tcW w:w="1740" w:type="dxa"/>
            <w:tcBorders>
              <w:tl2br w:val="nil"/>
              <w:tr2bl w:val="nil"/>
            </w:tcBorders>
            <w:vAlign w:val="center"/>
          </w:tcPr>
          <w:p w14:paraId="35F4289B">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 w:bidi="ar-SA"/>
              </w:rPr>
            </w:pPr>
            <w:r>
              <w:rPr>
                <w:rFonts w:hint="default" w:ascii="Times New Roman" w:hAnsi="Times New Roman" w:eastAsia="宋体" w:cs="Times New Roman"/>
                <w:color w:val="000000"/>
                <w:sz w:val="21"/>
                <w:szCs w:val="21"/>
                <w:vertAlign w:val="baseline"/>
                <w:lang w:val="en-US" w:eastAsia="zh" w:bidi="ar-SA"/>
              </w:rPr>
              <w:t>12,116.92</w:t>
            </w:r>
          </w:p>
        </w:tc>
        <w:tc>
          <w:tcPr>
            <w:tcW w:w="1104" w:type="dxa"/>
            <w:tcBorders>
              <w:tl2br w:val="nil"/>
              <w:tr2bl w:val="nil"/>
            </w:tcBorders>
            <w:vAlign w:val="center"/>
          </w:tcPr>
          <w:p w14:paraId="59D1CA87">
            <w:pPr>
              <w:jc w:val="right"/>
              <w:rPr>
                <w:rFonts w:hint="default" w:ascii="Times New Roman" w:hAnsi="Times New Roman" w:eastAsia="宋体" w:cs="Times New Roman"/>
                <w:color w:val="000000"/>
                <w:kern w:val="2"/>
                <w:sz w:val="21"/>
                <w:szCs w:val="21"/>
                <w:lang w:val="en" w:eastAsia="zh" w:bidi="ar-SA"/>
              </w:rPr>
            </w:pPr>
            <w:r>
              <w:rPr>
                <w:rFonts w:hint="default" w:ascii="Times New Roman" w:hAnsi="Times New Roman" w:eastAsia="宋体" w:cs="Times New Roman"/>
                <w:color w:val="000000"/>
                <w:kern w:val="2"/>
                <w:sz w:val="21"/>
                <w:szCs w:val="21"/>
                <w:highlight w:val="none"/>
                <w:lang w:val="en" w:eastAsia="zh" w:bidi="ar-SA"/>
              </w:rPr>
              <w:t>100%</w:t>
            </w:r>
          </w:p>
        </w:tc>
      </w:tr>
      <w:tr w14:paraId="45E30B5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1412" w:type="dxa"/>
            <w:tcBorders>
              <w:tl2br w:val="nil"/>
              <w:tr2bl w:val="nil"/>
            </w:tcBorders>
            <w:vAlign w:val="center"/>
          </w:tcPr>
          <w:p w14:paraId="4BAB5E12">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 w:bidi="ar-SA"/>
              </w:rPr>
            </w:pPr>
            <w:r>
              <w:rPr>
                <w:rFonts w:hint="eastAsia" w:ascii="宋体" w:hAnsi="宋体" w:eastAsia="宋体" w:cs="宋体"/>
                <w:color w:val="000000"/>
                <w:sz w:val="21"/>
                <w:szCs w:val="21"/>
                <w:vertAlign w:val="baseline"/>
                <w:lang w:val="en" w:eastAsia="zh" w:bidi="ar-SA"/>
              </w:rPr>
              <w:t>人员经费</w:t>
            </w:r>
          </w:p>
        </w:tc>
        <w:tc>
          <w:tcPr>
            <w:tcW w:w="1716" w:type="dxa"/>
            <w:tcBorders>
              <w:tl2br w:val="nil"/>
              <w:tr2bl w:val="nil"/>
            </w:tcBorders>
            <w:vAlign w:val="center"/>
          </w:tcPr>
          <w:p w14:paraId="06654702">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 w:bidi="ar-SA"/>
              </w:rPr>
            </w:pPr>
            <w:r>
              <w:rPr>
                <w:rFonts w:hint="default" w:ascii="Times New Roman" w:hAnsi="Times New Roman" w:eastAsia="宋体" w:cs="Times New Roman"/>
                <w:color w:val="000000"/>
                <w:sz w:val="21"/>
                <w:szCs w:val="21"/>
                <w:vertAlign w:val="baseline"/>
                <w:lang w:val="en" w:eastAsia="zh" w:bidi="ar-SA"/>
              </w:rPr>
              <w:t>1</w:t>
            </w:r>
            <w:r>
              <w:rPr>
                <w:rFonts w:hint="default" w:ascii="Times New Roman" w:hAnsi="Times New Roman" w:eastAsia="宋体" w:cs="Times New Roman"/>
                <w:color w:val="000000"/>
                <w:sz w:val="21"/>
                <w:szCs w:val="21"/>
                <w:vertAlign w:val="baseline"/>
                <w:lang w:val="en-US" w:eastAsia="zh-CN" w:bidi="ar-SA"/>
              </w:rPr>
              <w:t>1,4</w:t>
            </w:r>
            <w:r>
              <w:rPr>
                <w:rFonts w:hint="default" w:ascii="Times New Roman" w:hAnsi="Times New Roman" w:eastAsia="宋体" w:cs="Times New Roman"/>
                <w:color w:val="000000"/>
                <w:sz w:val="21"/>
                <w:szCs w:val="21"/>
                <w:vertAlign w:val="baseline"/>
                <w:lang w:val="en" w:eastAsia="zh" w:bidi="ar-SA"/>
              </w:rPr>
              <w:t>8</w:t>
            </w:r>
            <w:r>
              <w:rPr>
                <w:rFonts w:hint="default" w:ascii="Times New Roman" w:hAnsi="Times New Roman" w:eastAsia="宋体" w:cs="Times New Roman"/>
                <w:color w:val="000000"/>
                <w:sz w:val="21"/>
                <w:szCs w:val="21"/>
                <w:vertAlign w:val="baseline"/>
                <w:lang w:val="en-US" w:eastAsia="zh-CN" w:bidi="ar-SA"/>
              </w:rPr>
              <w:t>1.9</w:t>
            </w:r>
            <w:r>
              <w:rPr>
                <w:rFonts w:hint="default" w:ascii="Times New Roman" w:hAnsi="Times New Roman" w:eastAsia="宋体" w:cs="Times New Roman"/>
                <w:color w:val="000000"/>
                <w:sz w:val="21"/>
                <w:szCs w:val="21"/>
                <w:vertAlign w:val="baseline"/>
                <w:lang w:val="en" w:eastAsia="zh" w:bidi="ar-SA"/>
              </w:rPr>
              <w:t>6</w:t>
            </w:r>
          </w:p>
        </w:tc>
        <w:tc>
          <w:tcPr>
            <w:tcW w:w="1740" w:type="dxa"/>
            <w:tcBorders>
              <w:tl2br w:val="nil"/>
              <w:tr2bl w:val="nil"/>
            </w:tcBorders>
            <w:vAlign w:val="center"/>
          </w:tcPr>
          <w:p w14:paraId="48C21426">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US" w:eastAsia="zh-CN" w:bidi="ar-SA"/>
              </w:rPr>
            </w:pPr>
            <w:r>
              <w:rPr>
                <w:rFonts w:hint="default" w:ascii="Times New Roman" w:hAnsi="Times New Roman" w:eastAsia="宋体" w:cs="Times New Roman"/>
                <w:color w:val="000000"/>
                <w:sz w:val="21"/>
                <w:szCs w:val="21"/>
                <w:vertAlign w:val="baseline"/>
                <w:lang w:val="en-US" w:eastAsia="zh-CN" w:bidi="ar-SA"/>
              </w:rPr>
              <w:t>3.31</w:t>
            </w:r>
          </w:p>
        </w:tc>
        <w:tc>
          <w:tcPr>
            <w:tcW w:w="1776" w:type="dxa"/>
            <w:tcBorders>
              <w:tl2br w:val="nil"/>
              <w:tr2bl w:val="nil"/>
            </w:tcBorders>
            <w:vAlign w:val="center"/>
          </w:tcPr>
          <w:p w14:paraId="07093DC4">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US" w:eastAsia="zh" w:bidi="ar-SA"/>
              </w:rPr>
            </w:pPr>
            <w:r>
              <w:rPr>
                <w:rFonts w:hint="default" w:ascii="Times New Roman" w:hAnsi="Times New Roman" w:eastAsia="宋体" w:cs="Times New Roman"/>
                <w:color w:val="000000"/>
                <w:sz w:val="21"/>
                <w:szCs w:val="21"/>
                <w:vertAlign w:val="baseline"/>
                <w:lang w:val="en" w:eastAsia="zh" w:bidi="ar-SA"/>
              </w:rPr>
              <w:t>1</w:t>
            </w:r>
            <w:r>
              <w:rPr>
                <w:rFonts w:hint="default" w:ascii="Times New Roman" w:hAnsi="Times New Roman" w:eastAsia="宋体" w:cs="Times New Roman"/>
                <w:color w:val="000000"/>
                <w:sz w:val="21"/>
                <w:szCs w:val="21"/>
                <w:vertAlign w:val="baseline"/>
                <w:lang w:val="en-US" w:eastAsia="zh-CN" w:bidi="ar-SA"/>
              </w:rPr>
              <w:t>1,4</w:t>
            </w:r>
            <w:r>
              <w:rPr>
                <w:rFonts w:hint="default" w:ascii="Times New Roman" w:hAnsi="Times New Roman" w:eastAsia="宋体" w:cs="Times New Roman"/>
                <w:color w:val="000000"/>
                <w:sz w:val="21"/>
                <w:szCs w:val="21"/>
                <w:vertAlign w:val="baseline"/>
                <w:lang w:val="en" w:eastAsia="zh" w:bidi="ar-SA"/>
              </w:rPr>
              <w:t>8</w:t>
            </w:r>
            <w:r>
              <w:rPr>
                <w:rFonts w:hint="default" w:ascii="Times New Roman" w:hAnsi="Times New Roman" w:eastAsia="宋体" w:cs="Times New Roman"/>
                <w:color w:val="000000"/>
                <w:sz w:val="21"/>
                <w:szCs w:val="21"/>
                <w:vertAlign w:val="baseline"/>
                <w:lang w:val="en-US" w:eastAsia="zh-CN" w:bidi="ar-SA"/>
              </w:rPr>
              <w:t>5.28</w:t>
            </w:r>
          </w:p>
        </w:tc>
        <w:tc>
          <w:tcPr>
            <w:tcW w:w="1740" w:type="dxa"/>
            <w:tcBorders>
              <w:tl2br w:val="nil"/>
              <w:tr2bl w:val="nil"/>
            </w:tcBorders>
            <w:vAlign w:val="center"/>
          </w:tcPr>
          <w:p w14:paraId="5324A08A">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 w:bidi="ar-SA"/>
              </w:rPr>
            </w:pPr>
            <w:r>
              <w:rPr>
                <w:rFonts w:hint="default" w:ascii="Times New Roman" w:hAnsi="Times New Roman" w:eastAsia="宋体" w:cs="Times New Roman"/>
                <w:color w:val="000000"/>
                <w:sz w:val="21"/>
                <w:szCs w:val="21"/>
                <w:vertAlign w:val="baseline"/>
                <w:lang w:val="en" w:eastAsia="zh" w:bidi="ar-SA"/>
              </w:rPr>
              <w:t>1</w:t>
            </w:r>
            <w:r>
              <w:rPr>
                <w:rFonts w:hint="default" w:ascii="Times New Roman" w:hAnsi="Times New Roman" w:eastAsia="宋体" w:cs="Times New Roman"/>
                <w:color w:val="000000"/>
                <w:sz w:val="21"/>
                <w:szCs w:val="21"/>
                <w:vertAlign w:val="baseline"/>
                <w:lang w:val="en-US" w:eastAsia="zh-CN" w:bidi="ar-SA"/>
              </w:rPr>
              <w:t>1,4</w:t>
            </w:r>
            <w:r>
              <w:rPr>
                <w:rFonts w:hint="default" w:ascii="Times New Roman" w:hAnsi="Times New Roman" w:eastAsia="宋体" w:cs="Times New Roman"/>
                <w:color w:val="000000"/>
                <w:sz w:val="21"/>
                <w:szCs w:val="21"/>
                <w:vertAlign w:val="baseline"/>
                <w:lang w:val="en" w:eastAsia="zh" w:bidi="ar-SA"/>
              </w:rPr>
              <w:t>8</w:t>
            </w:r>
            <w:r>
              <w:rPr>
                <w:rFonts w:hint="default" w:ascii="Times New Roman" w:hAnsi="Times New Roman" w:eastAsia="宋体" w:cs="Times New Roman"/>
                <w:color w:val="000000"/>
                <w:sz w:val="21"/>
                <w:szCs w:val="21"/>
                <w:vertAlign w:val="baseline"/>
                <w:lang w:val="en-US" w:eastAsia="zh-CN" w:bidi="ar-SA"/>
              </w:rPr>
              <w:t>5.2</w:t>
            </w:r>
            <w:r>
              <w:rPr>
                <w:rFonts w:hint="default" w:ascii="Times New Roman" w:hAnsi="Times New Roman" w:eastAsia="宋体" w:cs="Times New Roman"/>
                <w:color w:val="000000"/>
                <w:sz w:val="21"/>
                <w:szCs w:val="21"/>
                <w:vertAlign w:val="baseline"/>
                <w:lang w:val="en" w:eastAsia="zh" w:bidi="ar-SA"/>
              </w:rPr>
              <w:t>7</w:t>
            </w:r>
          </w:p>
        </w:tc>
        <w:tc>
          <w:tcPr>
            <w:tcW w:w="1104" w:type="dxa"/>
            <w:tcBorders>
              <w:tl2br w:val="nil"/>
              <w:tr2bl w:val="nil"/>
            </w:tcBorders>
            <w:vAlign w:val="center"/>
          </w:tcPr>
          <w:p w14:paraId="01147000">
            <w:pPr>
              <w:jc w:val="right"/>
              <w:rPr>
                <w:rFonts w:hint="default" w:ascii="Times New Roman" w:hAnsi="Times New Roman" w:eastAsia="宋体" w:cs="Times New Roman"/>
                <w:color w:val="000000"/>
                <w:kern w:val="2"/>
                <w:sz w:val="21"/>
                <w:szCs w:val="21"/>
                <w:lang w:val="en" w:eastAsia="zh" w:bidi="ar-SA"/>
              </w:rPr>
            </w:pPr>
            <w:r>
              <w:rPr>
                <w:rFonts w:hint="default" w:ascii="Times New Roman" w:hAnsi="Times New Roman" w:eastAsia="宋体" w:cs="Times New Roman"/>
                <w:color w:val="000000"/>
                <w:kern w:val="2"/>
                <w:sz w:val="21"/>
                <w:szCs w:val="21"/>
                <w:lang w:val="en" w:eastAsia="zh" w:bidi="ar-SA"/>
              </w:rPr>
              <w:t>100%</w:t>
            </w:r>
          </w:p>
        </w:tc>
      </w:tr>
      <w:tr w14:paraId="57E9C9F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1412" w:type="dxa"/>
            <w:tcBorders>
              <w:tl2br w:val="nil"/>
              <w:tr2bl w:val="nil"/>
            </w:tcBorders>
            <w:vAlign w:val="center"/>
          </w:tcPr>
          <w:p w14:paraId="1B8AF8DD">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 w:bidi="ar-SA"/>
              </w:rPr>
            </w:pPr>
            <w:r>
              <w:rPr>
                <w:rFonts w:hint="eastAsia" w:ascii="宋体" w:hAnsi="宋体" w:eastAsia="宋体" w:cs="宋体"/>
                <w:color w:val="000000"/>
                <w:sz w:val="21"/>
                <w:szCs w:val="21"/>
                <w:vertAlign w:val="baseline"/>
                <w:lang w:val="en" w:eastAsia="zh" w:bidi="ar-SA"/>
              </w:rPr>
              <w:t>公用经费</w:t>
            </w:r>
          </w:p>
        </w:tc>
        <w:tc>
          <w:tcPr>
            <w:tcW w:w="1716" w:type="dxa"/>
            <w:tcBorders>
              <w:tl2br w:val="nil"/>
              <w:tr2bl w:val="nil"/>
            </w:tcBorders>
            <w:vAlign w:val="center"/>
          </w:tcPr>
          <w:p w14:paraId="66B11D12">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 w:bidi="ar-SA"/>
              </w:rPr>
            </w:pPr>
            <w:r>
              <w:rPr>
                <w:rFonts w:hint="default" w:ascii="Times New Roman" w:hAnsi="Times New Roman" w:eastAsia="宋体" w:cs="Times New Roman"/>
                <w:color w:val="000000"/>
                <w:sz w:val="21"/>
                <w:szCs w:val="21"/>
                <w:vertAlign w:val="baseline"/>
                <w:lang w:val="en" w:eastAsia="zh" w:bidi="ar-SA"/>
              </w:rPr>
              <w:t>9,20</w:t>
            </w:r>
            <w:r>
              <w:rPr>
                <w:rFonts w:hint="default" w:ascii="Times New Roman" w:hAnsi="Times New Roman" w:eastAsia="宋体" w:cs="Times New Roman"/>
                <w:color w:val="000000"/>
                <w:sz w:val="21"/>
                <w:szCs w:val="21"/>
                <w:vertAlign w:val="baseline"/>
                <w:lang w:val="en-US" w:eastAsia="zh-CN" w:bidi="ar-SA"/>
              </w:rPr>
              <w:t>9.</w:t>
            </w:r>
            <w:r>
              <w:rPr>
                <w:rFonts w:hint="default" w:ascii="Times New Roman" w:hAnsi="Times New Roman" w:eastAsia="宋体" w:cs="Times New Roman"/>
                <w:color w:val="000000"/>
                <w:sz w:val="21"/>
                <w:szCs w:val="21"/>
                <w:vertAlign w:val="baseline"/>
                <w:lang w:val="en" w:eastAsia="zh" w:bidi="ar-SA"/>
              </w:rPr>
              <w:t>40</w:t>
            </w:r>
          </w:p>
        </w:tc>
        <w:tc>
          <w:tcPr>
            <w:tcW w:w="1740" w:type="dxa"/>
            <w:tcBorders>
              <w:tl2br w:val="nil"/>
              <w:tr2bl w:val="nil"/>
            </w:tcBorders>
            <w:vAlign w:val="center"/>
          </w:tcPr>
          <w:p w14:paraId="376D6697">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 w:bidi="ar-SA"/>
              </w:rPr>
            </w:pPr>
            <w:r>
              <w:rPr>
                <w:rFonts w:hint="default" w:ascii="Times New Roman" w:hAnsi="Times New Roman" w:eastAsia="宋体" w:cs="Times New Roman"/>
                <w:color w:val="000000"/>
                <w:sz w:val="21"/>
                <w:szCs w:val="21"/>
                <w:vertAlign w:val="baseline"/>
                <w:lang w:val="en-US" w:eastAsia="zh" w:bidi="ar-SA"/>
              </w:rPr>
              <w:t>-28</w:t>
            </w:r>
            <w:r>
              <w:rPr>
                <w:rFonts w:hint="default" w:ascii="Times New Roman" w:hAnsi="Times New Roman" w:eastAsia="宋体" w:cs="Times New Roman"/>
                <w:color w:val="000000"/>
                <w:sz w:val="21"/>
                <w:szCs w:val="21"/>
                <w:vertAlign w:val="baseline"/>
                <w:lang w:val="en-US" w:eastAsia="zh-CN" w:bidi="ar-SA"/>
              </w:rPr>
              <w:t>9.2</w:t>
            </w:r>
            <w:r>
              <w:rPr>
                <w:rFonts w:hint="default" w:ascii="Times New Roman" w:hAnsi="Times New Roman" w:eastAsia="宋体" w:cs="Times New Roman"/>
                <w:color w:val="000000"/>
                <w:sz w:val="21"/>
                <w:szCs w:val="21"/>
                <w:vertAlign w:val="baseline"/>
                <w:lang w:val="en-US" w:eastAsia="zh" w:bidi="ar-SA"/>
              </w:rPr>
              <w:t>9</w:t>
            </w:r>
          </w:p>
        </w:tc>
        <w:tc>
          <w:tcPr>
            <w:tcW w:w="1776" w:type="dxa"/>
            <w:tcBorders>
              <w:tl2br w:val="nil"/>
              <w:tr2bl w:val="nil"/>
            </w:tcBorders>
            <w:vAlign w:val="center"/>
          </w:tcPr>
          <w:p w14:paraId="74B17332">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 w:bidi="ar-SA"/>
              </w:rPr>
            </w:pPr>
            <w:r>
              <w:rPr>
                <w:rFonts w:hint="default" w:ascii="Times New Roman" w:hAnsi="Times New Roman" w:eastAsia="宋体" w:cs="Times New Roman"/>
                <w:color w:val="000000"/>
                <w:sz w:val="21"/>
                <w:szCs w:val="21"/>
                <w:vertAlign w:val="baseline"/>
                <w:lang w:val="en" w:eastAsia="zh" w:bidi="ar-SA"/>
              </w:rPr>
              <w:t>63</w:t>
            </w:r>
            <w:r>
              <w:rPr>
                <w:rFonts w:hint="default" w:ascii="Times New Roman" w:hAnsi="Times New Roman" w:eastAsia="宋体" w:cs="Times New Roman"/>
                <w:color w:val="000000"/>
                <w:sz w:val="21"/>
                <w:szCs w:val="21"/>
                <w:vertAlign w:val="baseline"/>
                <w:lang w:val="en-US" w:eastAsia="zh-CN" w:bidi="ar-SA"/>
              </w:rPr>
              <w:t>1.6</w:t>
            </w:r>
            <w:r>
              <w:rPr>
                <w:rFonts w:hint="default" w:ascii="Times New Roman" w:hAnsi="Times New Roman" w:eastAsia="宋体" w:cs="Times New Roman"/>
                <w:color w:val="000000"/>
                <w:sz w:val="21"/>
                <w:szCs w:val="21"/>
                <w:vertAlign w:val="baseline"/>
                <w:lang w:val="en" w:eastAsia="zh" w:bidi="ar-SA"/>
              </w:rPr>
              <w:t>4</w:t>
            </w:r>
          </w:p>
        </w:tc>
        <w:tc>
          <w:tcPr>
            <w:tcW w:w="1740" w:type="dxa"/>
            <w:tcBorders>
              <w:tl2br w:val="nil"/>
              <w:tr2bl w:val="nil"/>
            </w:tcBorders>
            <w:vAlign w:val="center"/>
          </w:tcPr>
          <w:p w14:paraId="32AE846C">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 w:bidi="ar-SA"/>
              </w:rPr>
            </w:pPr>
            <w:r>
              <w:rPr>
                <w:rFonts w:hint="default" w:ascii="Times New Roman" w:hAnsi="Times New Roman" w:eastAsia="宋体" w:cs="Times New Roman"/>
                <w:color w:val="000000"/>
                <w:sz w:val="21"/>
                <w:szCs w:val="21"/>
                <w:vertAlign w:val="baseline"/>
                <w:lang w:val="en" w:eastAsia="zh" w:bidi="ar-SA"/>
              </w:rPr>
              <w:t>63</w:t>
            </w:r>
            <w:r>
              <w:rPr>
                <w:rFonts w:hint="default" w:ascii="Times New Roman" w:hAnsi="Times New Roman" w:eastAsia="宋体" w:cs="Times New Roman"/>
                <w:color w:val="000000"/>
                <w:sz w:val="21"/>
                <w:szCs w:val="21"/>
                <w:vertAlign w:val="baseline"/>
                <w:lang w:val="en-US" w:eastAsia="zh-CN" w:bidi="ar-SA"/>
              </w:rPr>
              <w:t>1.6</w:t>
            </w:r>
            <w:r>
              <w:rPr>
                <w:rFonts w:hint="default" w:ascii="Times New Roman" w:hAnsi="Times New Roman" w:eastAsia="宋体" w:cs="Times New Roman"/>
                <w:color w:val="000000"/>
                <w:sz w:val="21"/>
                <w:szCs w:val="21"/>
                <w:vertAlign w:val="baseline"/>
                <w:lang w:val="en" w:eastAsia="zh" w:bidi="ar-SA"/>
              </w:rPr>
              <w:t>4</w:t>
            </w:r>
          </w:p>
        </w:tc>
        <w:tc>
          <w:tcPr>
            <w:tcW w:w="1104" w:type="dxa"/>
            <w:tcBorders>
              <w:tl2br w:val="nil"/>
              <w:tr2bl w:val="nil"/>
            </w:tcBorders>
            <w:vAlign w:val="center"/>
          </w:tcPr>
          <w:p w14:paraId="000FB628">
            <w:pPr>
              <w:jc w:val="right"/>
              <w:rPr>
                <w:rFonts w:hint="default" w:ascii="Times New Roman" w:hAnsi="Times New Roman" w:eastAsia="宋体" w:cs="Times New Roman"/>
                <w:color w:val="000000"/>
                <w:kern w:val="2"/>
                <w:sz w:val="21"/>
                <w:szCs w:val="21"/>
                <w:lang w:val="en" w:eastAsia="zh" w:bidi="ar-SA"/>
              </w:rPr>
            </w:pPr>
            <w:r>
              <w:rPr>
                <w:rFonts w:hint="default" w:ascii="Times New Roman" w:hAnsi="Times New Roman" w:eastAsia="宋体" w:cs="Times New Roman"/>
                <w:color w:val="000000"/>
                <w:kern w:val="2"/>
                <w:sz w:val="21"/>
                <w:szCs w:val="21"/>
                <w:lang w:val="en" w:eastAsia="zh" w:bidi="ar-SA"/>
              </w:rPr>
              <w:t>100%</w:t>
            </w:r>
          </w:p>
        </w:tc>
      </w:tr>
      <w:tr w14:paraId="744F549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1412" w:type="dxa"/>
            <w:tcBorders>
              <w:tl2br w:val="nil"/>
              <w:tr2bl w:val="nil"/>
            </w:tcBorders>
            <w:vAlign w:val="center"/>
          </w:tcPr>
          <w:p w14:paraId="599C3D33">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color w:val="000000"/>
                <w:sz w:val="21"/>
                <w:szCs w:val="21"/>
                <w:vertAlign w:val="baseline"/>
                <w:lang w:val="en" w:eastAsia="zh" w:bidi="ar-SA"/>
              </w:rPr>
            </w:pPr>
            <w:r>
              <w:rPr>
                <w:rFonts w:hint="eastAsia" w:ascii="宋体" w:hAnsi="宋体" w:eastAsia="宋体" w:cs="宋体"/>
                <w:color w:val="000000"/>
                <w:sz w:val="21"/>
                <w:szCs w:val="21"/>
                <w:vertAlign w:val="baseline"/>
                <w:lang w:val="en" w:eastAsia="zh" w:bidi="ar-SA"/>
              </w:rPr>
              <w:t>二、项目支出</w:t>
            </w:r>
          </w:p>
        </w:tc>
        <w:tc>
          <w:tcPr>
            <w:tcW w:w="1716" w:type="dxa"/>
            <w:tcBorders>
              <w:tl2br w:val="nil"/>
              <w:tr2bl w:val="nil"/>
            </w:tcBorders>
            <w:vAlign w:val="center"/>
          </w:tcPr>
          <w:p w14:paraId="7A911071">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 w:bidi="ar-SA"/>
              </w:rPr>
            </w:pPr>
            <w:r>
              <w:rPr>
                <w:rFonts w:hint="default" w:ascii="Times New Roman" w:hAnsi="Times New Roman" w:eastAsia="宋体" w:cs="Times New Roman"/>
                <w:color w:val="000000"/>
                <w:sz w:val="21"/>
                <w:szCs w:val="21"/>
                <w:vertAlign w:val="baseline"/>
                <w:lang w:val="en-US" w:eastAsia="zh-CN" w:bidi="ar-SA"/>
              </w:rPr>
              <w:t>2,9</w:t>
            </w:r>
            <w:r>
              <w:rPr>
                <w:rFonts w:hint="default" w:ascii="Times New Roman" w:hAnsi="Times New Roman" w:eastAsia="宋体" w:cs="Times New Roman"/>
                <w:color w:val="000000"/>
                <w:sz w:val="21"/>
                <w:szCs w:val="21"/>
                <w:vertAlign w:val="baseline"/>
                <w:lang w:val="en" w:eastAsia="zh" w:bidi="ar-SA"/>
              </w:rPr>
              <w:t>8</w:t>
            </w:r>
            <w:r>
              <w:rPr>
                <w:rFonts w:hint="default" w:ascii="Times New Roman" w:hAnsi="Times New Roman" w:eastAsia="宋体" w:cs="Times New Roman"/>
                <w:color w:val="000000"/>
                <w:sz w:val="21"/>
                <w:szCs w:val="21"/>
                <w:vertAlign w:val="baseline"/>
                <w:lang w:val="en-US" w:eastAsia="zh-CN" w:bidi="ar-SA"/>
              </w:rPr>
              <w:t>0.0</w:t>
            </w:r>
            <w:r>
              <w:rPr>
                <w:rFonts w:hint="default" w:ascii="Times New Roman" w:hAnsi="Times New Roman" w:eastAsia="宋体" w:cs="Times New Roman"/>
                <w:color w:val="000000"/>
                <w:sz w:val="21"/>
                <w:szCs w:val="21"/>
                <w:vertAlign w:val="baseline"/>
                <w:lang w:val="en" w:eastAsia="zh" w:bidi="ar-SA"/>
              </w:rPr>
              <w:t>9</w:t>
            </w:r>
          </w:p>
        </w:tc>
        <w:tc>
          <w:tcPr>
            <w:tcW w:w="1740" w:type="dxa"/>
            <w:tcBorders>
              <w:tl2br w:val="nil"/>
              <w:tr2bl w:val="nil"/>
            </w:tcBorders>
            <w:vAlign w:val="center"/>
          </w:tcPr>
          <w:p w14:paraId="3B6ACA2F">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US" w:eastAsia="zh" w:bidi="ar-SA"/>
              </w:rPr>
            </w:pPr>
            <w:r>
              <w:rPr>
                <w:rFonts w:hint="default" w:ascii="Times New Roman" w:hAnsi="Times New Roman" w:eastAsia="宋体" w:cs="Times New Roman"/>
                <w:color w:val="000000"/>
                <w:sz w:val="21"/>
                <w:szCs w:val="21"/>
                <w:vertAlign w:val="baseline"/>
                <w:lang w:val="en" w:eastAsia="zh" w:bidi="ar-SA"/>
              </w:rPr>
              <w:t>1</w:t>
            </w:r>
            <w:r>
              <w:rPr>
                <w:rFonts w:hint="default" w:ascii="Times New Roman" w:hAnsi="Times New Roman" w:eastAsia="宋体" w:cs="Times New Roman"/>
                <w:color w:val="000000"/>
                <w:sz w:val="21"/>
                <w:szCs w:val="21"/>
                <w:vertAlign w:val="baseline"/>
                <w:lang w:val="en-US" w:eastAsia="zh-CN" w:bidi="ar-SA"/>
              </w:rPr>
              <w:t>4,0</w:t>
            </w:r>
            <w:r>
              <w:rPr>
                <w:rFonts w:hint="default" w:ascii="Times New Roman" w:hAnsi="Times New Roman" w:eastAsia="宋体" w:cs="Times New Roman"/>
                <w:color w:val="000000"/>
                <w:sz w:val="21"/>
                <w:szCs w:val="21"/>
                <w:vertAlign w:val="baseline"/>
                <w:lang w:val="en" w:eastAsia="zh" w:bidi="ar-SA"/>
              </w:rPr>
              <w:t>6</w:t>
            </w:r>
            <w:r>
              <w:rPr>
                <w:rFonts w:hint="default" w:ascii="Times New Roman" w:hAnsi="Times New Roman" w:eastAsia="宋体" w:cs="Times New Roman"/>
                <w:color w:val="000000"/>
                <w:sz w:val="21"/>
                <w:szCs w:val="21"/>
                <w:vertAlign w:val="baseline"/>
                <w:lang w:val="en-US" w:eastAsia="zh-CN" w:bidi="ar-SA"/>
              </w:rPr>
              <w:t>1.59</w:t>
            </w:r>
          </w:p>
        </w:tc>
        <w:tc>
          <w:tcPr>
            <w:tcW w:w="1776" w:type="dxa"/>
            <w:tcBorders>
              <w:tl2br w:val="nil"/>
              <w:tr2bl w:val="nil"/>
            </w:tcBorders>
            <w:vAlign w:val="center"/>
          </w:tcPr>
          <w:p w14:paraId="120E4433">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 w:eastAsia="zh-CN" w:bidi="ar-SA"/>
              </w:rPr>
            </w:pPr>
            <w:r>
              <w:rPr>
                <w:rFonts w:hint="default" w:ascii="Times New Roman" w:hAnsi="Times New Roman" w:eastAsia="宋体" w:cs="Times New Roman"/>
                <w:color w:val="000000"/>
                <w:sz w:val="21"/>
                <w:szCs w:val="21"/>
                <w:vertAlign w:val="baseline"/>
                <w:lang w:val="en" w:eastAsia="zh" w:bidi="ar-SA"/>
              </w:rPr>
              <w:t>1</w:t>
            </w:r>
            <w:r>
              <w:rPr>
                <w:rFonts w:hint="default" w:ascii="Times New Roman" w:hAnsi="Times New Roman" w:eastAsia="宋体" w:cs="Times New Roman"/>
                <w:color w:val="000000"/>
                <w:sz w:val="21"/>
                <w:szCs w:val="21"/>
                <w:vertAlign w:val="baseline"/>
                <w:lang w:val="en-US" w:eastAsia="zh-CN" w:bidi="ar-SA"/>
              </w:rPr>
              <w:t>7,0</w:t>
            </w:r>
            <w:r>
              <w:rPr>
                <w:rFonts w:hint="default" w:ascii="Times New Roman" w:hAnsi="Times New Roman" w:eastAsia="宋体" w:cs="Times New Roman"/>
                <w:color w:val="000000"/>
                <w:sz w:val="21"/>
                <w:szCs w:val="21"/>
                <w:vertAlign w:val="baseline"/>
                <w:lang w:val="en" w:eastAsia="zh" w:bidi="ar-SA"/>
              </w:rPr>
              <w:t>4</w:t>
            </w:r>
            <w:r>
              <w:rPr>
                <w:rFonts w:hint="default" w:ascii="Times New Roman" w:hAnsi="Times New Roman" w:eastAsia="宋体" w:cs="Times New Roman"/>
                <w:color w:val="000000"/>
                <w:sz w:val="21"/>
                <w:szCs w:val="21"/>
                <w:vertAlign w:val="baseline"/>
                <w:lang w:val="en-US" w:eastAsia="zh-CN" w:bidi="ar-SA"/>
              </w:rPr>
              <w:t>1.68</w:t>
            </w:r>
          </w:p>
        </w:tc>
        <w:tc>
          <w:tcPr>
            <w:tcW w:w="1740" w:type="dxa"/>
            <w:tcBorders>
              <w:tl2br w:val="nil"/>
              <w:tr2bl w:val="nil"/>
            </w:tcBorders>
            <w:vAlign w:val="center"/>
          </w:tcPr>
          <w:p w14:paraId="6CD64695">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color w:val="000000"/>
                <w:sz w:val="21"/>
                <w:szCs w:val="21"/>
                <w:vertAlign w:val="baseline"/>
                <w:lang w:val="en-US" w:eastAsia="zh" w:bidi="ar-SA"/>
              </w:rPr>
            </w:pPr>
            <w:r>
              <w:rPr>
                <w:rFonts w:hint="default" w:ascii="Times New Roman" w:hAnsi="Times New Roman" w:eastAsia="宋体" w:cs="Times New Roman"/>
                <w:color w:val="000000"/>
                <w:sz w:val="21"/>
                <w:szCs w:val="21"/>
                <w:vertAlign w:val="baseline"/>
                <w:lang w:val="en" w:eastAsia="zh" w:bidi="ar-SA"/>
              </w:rPr>
              <w:t>1</w:t>
            </w:r>
            <w:r>
              <w:rPr>
                <w:rFonts w:hint="eastAsia" w:ascii="Times New Roman" w:hAnsi="Times New Roman" w:eastAsia="宋体" w:cs="Times New Roman"/>
                <w:color w:val="000000"/>
                <w:sz w:val="21"/>
                <w:szCs w:val="21"/>
                <w:vertAlign w:val="baseline"/>
                <w:lang w:val="en-US" w:eastAsia="zh-CN" w:bidi="ar-SA"/>
              </w:rPr>
              <w:t>0</w:t>
            </w:r>
            <w:r>
              <w:rPr>
                <w:rFonts w:hint="default" w:ascii="Times New Roman" w:hAnsi="Times New Roman" w:eastAsia="宋体" w:cs="Times New Roman"/>
                <w:color w:val="000000"/>
                <w:sz w:val="21"/>
                <w:szCs w:val="21"/>
                <w:vertAlign w:val="baseline"/>
                <w:lang w:val="en-US" w:eastAsia="zh-CN" w:bidi="ar-SA"/>
              </w:rPr>
              <w:t>,</w:t>
            </w:r>
            <w:r>
              <w:rPr>
                <w:rFonts w:hint="eastAsia" w:ascii="Times New Roman" w:hAnsi="Times New Roman" w:eastAsia="宋体" w:cs="Times New Roman"/>
                <w:color w:val="000000"/>
                <w:sz w:val="21"/>
                <w:szCs w:val="21"/>
                <w:vertAlign w:val="baseline"/>
                <w:lang w:val="en-US" w:eastAsia="zh-CN" w:bidi="ar-SA"/>
              </w:rPr>
              <w:t>999</w:t>
            </w:r>
            <w:r>
              <w:rPr>
                <w:rFonts w:hint="default" w:ascii="Times New Roman" w:hAnsi="Times New Roman" w:eastAsia="宋体" w:cs="Times New Roman"/>
                <w:color w:val="000000"/>
                <w:sz w:val="21"/>
                <w:szCs w:val="21"/>
                <w:vertAlign w:val="baseline"/>
                <w:lang w:val="en-US" w:eastAsia="zh-CN" w:bidi="ar-SA"/>
              </w:rPr>
              <w:t>.</w:t>
            </w:r>
            <w:r>
              <w:rPr>
                <w:rFonts w:hint="eastAsia" w:ascii="Times New Roman" w:hAnsi="Times New Roman" w:eastAsia="宋体" w:cs="Times New Roman"/>
                <w:color w:val="000000"/>
                <w:sz w:val="21"/>
                <w:szCs w:val="21"/>
                <w:vertAlign w:val="baseline"/>
                <w:lang w:val="en-US" w:eastAsia="zh-CN" w:bidi="ar-SA"/>
              </w:rPr>
              <w:t>10</w:t>
            </w:r>
          </w:p>
        </w:tc>
        <w:tc>
          <w:tcPr>
            <w:tcW w:w="1104" w:type="dxa"/>
            <w:tcBorders>
              <w:tl2br w:val="nil"/>
              <w:tr2bl w:val="nil"/>
            </w:tcBorders>
            <w:vAlign w:val="center"/>
          </w:tcPr>
          <w:p w14:paraId="680E89FB">
            <w:pPr>
              <w:jc w:val="right"/>
              <w:rPr>
                <w:rFonts w:hint="default" w:ascii="Times New Roman" w:hAnsi="Times New Roman" w:eastAsia="宋体" w:cs="Times New Roman"/>
                <w:color w:val="000000"/>
                <w:kern w:val="2"/>
                <w:sz w:val="21"/>
                <w:szCs w:val="21"/>
                <w:lang w:val="en" w:eastAsia="zh" w:bidi="ar-SA"/>
              </w:rPr>
            </w:pPr>
            <w:r>
              <w:rPr>
                <w:rFonts w:hint="default" w:ascii="Times New Roman" w:hAnsi="Times New Roman" w:eastAsia="宋体" w:cs="Times New Roman"/>
                <w:color w:val="000000"/>
                <w:kern w:val="2"/>
                <w:sz w:val="21"/>
                <w:szCs w:val="21"/>
                <w:lang w:val="en-US" w:eastAsia="zh-CN" w:bidi="ar-SA"/>
              </w:rPr>
              <w:t>64.54</w:t>
            </w:r>
            <w:r>
              <w:rPr>
                <w:rFonts w:hint="default" w:ascii="Times New Roman" w:hAnsi="Times New Roman" w:eastAsia="宋体" w:cs="Times New Roman"/>
                <w:color w:val="000000"/>
                <w:kern w:val="2"/>
                <w:sz w:val="21"/>
                <w:szCs w:val="21"/>
                <w:lang w:val="en" w:eastAsia="zh" w:bidi="ar-SA"/>
              </w:rPr>
              <w:t>%</w:t>
            </w:r>
          </w:p>
        </w:tc>
      </w:tr>
      <w:tr w14:paraId="0A8FE15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1412" w:type="dxa"/>
            <w:tcBorders>
              <w:tl2br w:val="nil"/>
              <w:tr2bl w:val="nil"/>
            </w:tcBorders>
            <w:vAlign w:val="center"/>
          </w:tcPr>
          <w:p w14:paraId="6EC580F3">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center"/>
              <w:textAlignment w:val="auto"/>
              <w:rPr>
                <w:rFonts w:hint="eastAsia" w:ascii="宋体" w:hAnsi="宋体" w:eastAsia="宋体" w:cs="宋体"/>
                <w:b/>
                <w:bCs/>
                <w:color w:val="000000"/>
                <w:kern w:val="2"/>
                <w:sz w:val="21"/>
                <w:szCs w:val="21"/>
                <w:lang w:val="en" w:eastAsia="zh" w:bidi="ar-SA"/>
              </w:rPr>
            </w:pPr>
            <w:r>
              <w:rPr>
                <w:rFonts w:hint="eastAsia" w:ascii="宋体" w:hAnsi="宋体" w:eastAsia="宋体" w:cs="宋体"/>
                <w:b/>
                <w:bCs/>
                <w:color w:val="000000"/>
                <w:kern w:val="2"/>
                <w:sz w:val="21"/>
                <w:szCs w:val="21"/>
                <w:lang w:val="en" w:eastAsia="zh" w:bidi="ar-SA"/>
              </w:rPr>
              <w:t>合计</w:t>
            </w:r>
          </w:p>
        </w:tc>
        <w:tc>
          <w:tcPr>
            <w:tcW w:w="1716" w:type="dxa"/>
            <w:tcBorders>
              <w:tl2br w:val="nil"/>
              <w:tr2bl w:val="nil"/>
            </w:tcBorders>
            <w:vAlign w:val="center"/>
          </w:tcPr>
          <w:p w14:paraId="6898A60A">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b/>
                <w:bCs/>
                <w:color w:val="000000"/>
                <w:kern w:val="2"/>
                <w:sz w:val="21"/>
                <w:szCs w:val="21"/>
                <w:lang w:val="en" w:eastAsia="zh" w:bidi="ar-SA"/>
              </w:rPr>
            </w:pPr>
            <w:r>
              <w:rPr>
                <w:rFonts w:hint="default" w:ascii="Times New Roman" w:hAnsi="Times New Roman" w:eastAsia="宋体" w:cs="Times New Roman"/>
                <w:b/>
                <w:bCs/>
                <w:color w:val="000000"/>
                <w:kern w:val="2"/>
                <w:sz w:val="21"/>
                <w:szCs w:val="21"/>
                <w:lang w:val="en" w:eastAsia="zh" w:bidi="ar-SA"/>
              </w:rPr>
              <w:t>15,382.99</w:t>
            </w:r>
          </w:p>
        </w:tc>
        <w:tc>
          <w:tcPr>
            <w:tcW w:w="1740" w:type="dxa"/>
            <w:tcBorders>
              <w:tl2br w:val="nil"/>
              <w:tr2bl w:val="nil"/>
            </w:tcBorders>
            <w:vAlign w:val="center"/>
          </w:tcPr>
          <w:p w14:paraId="26859E6D">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b/>
                <w:bCs/>
                <w:color w:val="000000"/>
                <w:kern w:val="2"/>
                <w:sz w:val="21"/>
                <w:szCs w:val="21"/>
                <w:lang w:val="en" w:eastAsia="zh" w:bidi="ar-SA"/>
              </w:rPr>
            </w:pPr>
            <w:r>
              <w:rPr>
                <w:rFonts w:hint="default" w:ascii="Times New Roman" w:hAnsi="Times New Roman" w:eastAsia="宋体" w:cs="Times New Roman"/>
                <w:b/>
                <w:bCs/>
                <w:color w:val="000000"/>
                <w:kern w:val="2"/>
                <w:sz w:val="21"/>
                <w:szCs w:val="21"/>
                <w:lang w:val="en-US" w:eastAsia="zh" w:bidi="ar-SA"/>
              </w:rPr>
              <w:t>13,775.61</w:t>
            </w:r>
          </w:p>
        </w:tc>
        <w:tc>
          <w:tcPr>
            <w:tcW w:w="1776" w:type="dxa"/>
            <w:tcBorders>
              <w:tl2br w:val="nil"/>
              <w:tr2bl w:val="nil"/>
            </w:tcBorders>
            <w:vAlign w:val="center"/>
          </w:tcPr>
          <w:p w14:paraId="703E7BDA">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b/>
                <w:bCs/>
                <w:color w:val="000000"/>
                <w:kern w:val="2"/>
                <w:sz w:val="21"/>
                <w:szCs w:val="21"/>
                <w:lang w:val="en" w:eastAsia="zh" w:bidi="ar-SA"/>
              </w:rPr>
            </w:pPr>
            <w:r>
              <w:rPr>
                <w:rFonts w:hint="default" w:ascii="Times New Roman" w:hAnsi="Times New Roman" w:eastAsia="宋体" w:cs="Times New Roman"/>
                <w:b/>
                <w:bCs/>
                <w:color w:val="000000"/>
                <w:kern w:val="2"/>
                <w:sz w:val="21"/>
                <w:szCs w:val="21"/>
                <w:lang w:val="en" w:eastAsia="zh" w:bidi="ar-SA"/>
              </w:rPr>
              <w:t>29,158.60</w:t>
            </w:r>
          </w:p>
        </w:tc>
        <w:tc>
          <w:tcPr>
            <w:tcW w:w="1740" w:type="dxa"/>
            <w:tcBorders>
              <w:tl2br w:val="nil"/>
              <w:tr2bl w:val="nil"/>
            </w:tcBorders>
            <w:vAlign w:val="center"/>
          </w:tcPr>
          <w:p w14:paraId="0FF30D01">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b/>
                <w:bCs/>
                <w:color w:val="000000"/>
                <w:kern w:val="2"/>
                <w:sz w:val="21"/>
                <w:szCs w:val="21"/>
                <w:lang w:val="en-US" w:eastAsia="zh-CN" w:bidi="ar-SA"/>
              </w:rPr>
            </w:pPr>
            <w:r>
              <w:rPr>
                <w:rFonts w:hint="default" w:ascii="Times New Roman" w:hAnsi="Times New Roman" w:eastAsia="宋体" w:cs="Times New Roman"/>
                <w:b/>
                <w:bCs/>
                <w:color w:val="000000"/>
                <w:kern w:val="2"/>
                <w:sz w:val="21"/>
                <w:szCs w:val="21"/>
                <w:lang w:val="en-US" w:eastAsia="zh" w:bidi="ar-SA"/>
              </w:rPr>
              <w:t>23,</w:t>
            </w:r>
            <w:r>
              <w:rPr>
                <w:rFonts w:hint="eastAsia" w:ascii="Times New Roman" w:hAnsi="Times New Roman" w:eastAsia="宋体" w:cs="Times New Roman"/>
                <w:b/>
                <w:bCs/>
                <w:color w:val="000000"/>
                <w:kern w:val="2"/>
                <w:sz w:val="21"/>
                <w:szCs w:val="21"/>
                <w:lang w:val="en-US" w:eastAsia="zh-CN" w:bidi="ar-SA"/>
              </w:rPr>
              <w:t>116</w:t>
            </w:r>
            <w:r>
              <w:rPr>
                <w:rFonts w:hint="default" w:ascii="Times New Roman" w:hAnsi="Times New Roman" w:eastAsia="宋体" w:cs="Times New Roman"/>
                <w:b/>
                <w:bCs/>
                <w:color w:val="000000"/>
                <w:kern w:val="2"/>
                <w:sz w:val="21"/>
                <w:szCs w:val="21"/>
                <w:lang w:val="en-US" w:eastAsia="zh" w:bidi="ar-SA"/>
              </w:rPr>
              <w:t>.</w:t>
            </w:r>
            <w:r>
              <w:rPr>
                <w:rFonts w:hint="eastAsia" w:ascii="Times New Roman" w:hAnsi="Times New Roman" w:eastAsia="宋体" w:cs="Times New Roman"/>
                <w:b/>
                <w:bCs/>
                <w:color w:val="000000"/>
                <w:kern w:val="2"/>
                <w:sz w:val="21"/>
                <w:szCs w:val="21"/>
                <w:lang w:val="en-US" w:eastAsia="zh-CN" w:bidi="ar-SA"/>
              </w:rPr>
              <w:t>02</w:t>
            </w:r>
          </w:p>
        </w:tc>
        <w:tc>
          <w:tcPr>
            <w:tcW w:w="1104" w:type="dxa"/>
            <w:tcBorders>
              <w:tl2br w:val="nil"/>
              <w:tr2bl w:val="nil"/>
            </w:tcBorders>
            <w:vAlign w:val="center"/>
          </w:tcPr>
          <w:p w14:paraId="26FCAA11">
            <w:pPr>
              <w:pStyle w:val="9"/>
              <w:keepNext w:val="0"/>
              <w:keepLines w:val="0"/>
              <w:pageBreakBefore w:val="0"/>
              <w:widowControl/>
              <w:suppressLineNumbers w:val="0"/>
              <w:kinsoku/>
              <w:wordWrap/>
              <w:overflowPunct/>
              <w:topLinePunct w:val="0"/>
              <w:autoSpaceDE w:val="0"/>
              <w:autoSpaceDN/>
              <w:bidi w:val="0"/>
              <w:adjustRightInd/>
              <w:snapToGrid/>
              <w:spacing w:before="100" w:beforeAutospacing="1" w:after="100" w:afterAutospacing="1" w:line="240" w:lineRule="auto"/>
              <w:ind w:left="0" w:right="0" w:rightChars="0"/>
              <w:jc w:val="right"/>
              <w:textAlignment w:val="auto"/>
              <w:rPr>
                <w:rFonts w:hint="default" w:ascii="Times New Roman" w:hAnsi="Times New Roman" w:eastAsia="宋体" w:cs="Times New Roman"/>
                <w:b/>
                <w:bCs/>
                <w:color w:val="000000"/>
                <w:kern w:val="2"/>
                <w:sz w:val="21"/>
                <w:szCs w:val="21"/>
                <w:lang w:val="en" w:eastAsia="zh" w:bidi="ar-SA"/>
              </w:rPr>
            </w:pPr>
            <w:r>
              <w:rPr>
                <w:rFonts w:hint="default" w:ascii="Times New Roman" w:hAnsi="Times New Roman" w:eastAsia="宋体" w:cs="Times New Roman"/>
                <w:b/>
                <w:bCs/>
                <w:color w:val="000000"/>
                <w:kern w:val="2"/>
                <w:sz w:val="21"/>
                <w:szCs w:val="21"/>
                <w:lang w:val="en-US" w:eastAsia="zh-CN" w:bidi="ar-SA"/>
              </w:rPr>
              <w:t>79.27</w:t>
            </w:r>
            <w:r>
              <w:rPr>
                <w:rFonts w:hint="default" w:ascii="Times New Roman" w:hAnsi="Times New Roman" w:eastAsia="宋体" w:cs="Times New Roman"/>
                <w:b/>
                <w:bCs/>
                <w:color w:val="000000"/>
                <w:kern w:val="2"/>
                <w:sz w:val="21"/>
                <w:szCs w:val="21"/>
                <w:lang w:val="en" w:eastAsia="zh" w:bidi="ar-SA"/>
              </w:rPr>
              <w:t>%</w:t>
            </w:r>
          </w:p>
        </w:tc>
      </w:tr>
    </w:tbl>
    <w:p w14:paraId="2D638B2C">
      <w:pPr>
        <w:keepNext w:val="0"/>
        <w:keepLines w:val="0"/>
        <w:widowControl w:val="0"/>
        <w:suppressLineNumbers w:val="0"/>
        <w:autoSpaceDE w:val="0"/>
        <w:autoSpaceDN/>
        <w:spacing w:before="165" w:beforeLines="50" w:beforeAutospacing="0" w:after="165" w:afterLines="50" w:afterAutospacing="0" w:line="360" w:lineRule="auto"/>
        <w:ind w:right="0" w:firstLine="482" w:firstLineChars="200"/>
        <w:jc w:val="left"/>
        <w:outlineLvl w:val="0"/>
        <w:rPr>
          <w:rFonts w:hint="eastAsia" w:ascii="宋体" w:hAnsi="宋体" w:eastAsia="宋体" w:cs="宋体"/>
          <w:b/>
          <w:bCs/>
          <w:kern w:val="2"/>
          <w:sz w:val="24"/>
          <w:szCs w:val="24"/>
          <w:lang w:val="en" w:eastAsia="zh" w:bidi="ar"/>
        </w:rPr>
      </w:pPr>
      <w:bookmarkStart w:id="25" w:name="_Toc16980"/>
      <w:r>
        <w:rPr>
          <w:rFonts w:hint="eastAsia" w:ascii="宋体" w:hAnsi="宋体" w:eastAsia="宋体" w:cs="宋体"/>
          <w:b/>
          <w:bCs/>
          <w:kern w:val="2"/>
          <w:sz w:val="24"/>
          <w:szCs w:val="24"/>
          <w:lang w:val="en" w:eastAsia="zh" w:bidi="ar"/>
        </w:rPr>
        <w:t>二、绩效评价工作开展情况</w:t>
      </w:r>
      <w:bookmarkEnd w:id="21"/>
      <w:bookmarkEnd w:id="22"/>
      <w:bookmarkEnd w:id="25"/>
    </w:p>
    <w:p w14:paraId="7F69BC08">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eastAsia" w:ascii="宋体" w:hAnsi="宋体" w:eastAsia="宋体" w:cs="宋体"/>
          <w:b/>
          <w:bCs/>
          <w:kern w:val="2"/>
          <w:sz w:val="24"/>
          <w:szCs w:val="24"/>
          <w:lang w:val="en" w:eastAsia="zh-CN" w:bidi="ar"/>
        </w:rPr>
      </w:pPr>
      <w:bookmarkStart w:id="26" w:name="_Toc4954"/>
      <w:bookmarkStart w:id="27" w:name="_Toc25309"/>
      <w:bookmarkStart w:id="28" w:name="_Toc17513"/>
      <w:r>
        <w:rPr>
          <w:rFonts w:hint="eastAsia" w:ascii="宋体" w:hAnsi="宋体" w:eastAsia="宋体" w:cs="宋体"/>
          <w:b/>
          <w:bCs/>
          <w:kern w:val="2"/>
          <w:sz w:val="24"/>
          <w:szCs w:val="24"/>
          <w:lang w:val="en" w:eastAsia="zh-CN" w:bidi="ar"/>
        </w:rPr>
        <w:t>（一）绩效评价目的、对象和范围</w:t>
      </w:r>
      <w:bookmarkEnd w:id="26"/>
      <w:bookmarkEnd w:id="27"/>
      <w:bookmarkEnd w:id="28"/>
    </w:p>
    <w:p w14:paraId="291F8F4D">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 w:eastAsia="zh-CN" w:bidi="ar"/>
        </w:rPr>
      </w:pPr>
      <w:r>
        <w:rPr>
          <w:rFonts w:hint="eastAsia" w:ascii="宋体" w:hAnsi="宋体" w:eastAsia="宋体" w:cs="宋体"/>
          <w:b/>
          <w:bCs/>
          <w:kern w:val="2"/>
          <w:sz w:val="24"/>
          <w:szCs w:val="24"/>
          <w:lang w:val="en" w:eastAsia="zh-CN" w:bidi="ar"/>
        </w:rPr>
        <w:t>1.评价目的</w:t>
      </w:r>
    </w:p>
    <w:p w14:paraId="6451BCB0">
      <w:pPr>
        <w:pStyle w:val="4"/>
        <w:keepNext w:val="0"/>
        <w:keepLines w:val="0"/>
        <w:pageBreakBefore w:val="0"/>
        <w:numPr>
          <w:ilvl w:val="0"/>
          <w:numId w:val="0"/>
        </w:numPr>
        <w:kinsoku/>
        <w:wordWrap/>
        <w:overflowPunct/>
        <w:topLinePunct w:val="0"/>
        <w:autoSpaceDE/>
        <w:autoSpaceDN/>
        <w:bidi w:val="0"/>
        <w:adjustRightInd/>
        <w:snapToGrid/>
        <w:spacing w:before="165" w:beforeLines="50" w:beforeAutospacing="0" w:after="165" w:afterLines="50" w:afterAutospacing="0" w:line="360" w:lineRule="auto"/>
        <w:ind w:firstLine="480" w:firstLineChars="200"/>
        <w:jc w:val="both"/>
        <w:textAlignment w:val="auto"/>
        <w:rPr>
          <w:rFonts w:hint="eastAsia" w:ascii="宋体" w:hAnsi="宋体" w:eastAsia="宋体" w:cs="宋体"/>
          <w:color w:val="000000"/>
          <w:kern w:val="2"/>
          <w:sz w:val="24"/>
          <w:szCs w:val="24"/>
          <w:lang w:val="en" w:eastAsia="zh-CN" w:bidi="ar-SA"/>
        </w:rPr>
      </w:pPr>
      <w:r>
        <w:rPr>
          <w:rFonts w:hint="eastAsia" w:ascii="宋体" w:hAnsi="宋体" w:eastAsia="宋体" w:cs="宋体"/>
          <w:color w:val="000000"/>
          <w:kern w:val="2"/>
          <w:sz w:val="24"/>
          <w:szCs w:val="24"/>
          <w:lang w:val="en" w:eastAsia="zh-CN" w:bidi="ar-SA"/>
        </w:rPr>
        <w:t>本次评价根据《中共中央</w:t>
      </w:r>
      <w:r>
        <w:rPr>
          <w:rFonts w:hint="eastAsia" w:eastAsia="宋体" w:cs="宋体"/>
          <w:color w:val="000000"/>
          <w:kern w:val="2"/>
          <w:sz w:val="24"/>
          <w:szCs w:val="24"/>
          <w:lang w:val="en-US" w:eastAsia="zh-CN" w:bidi="ar-SA"/>
        </w:rPr>
        <w:t xml:space="preserve"> </w:t>
      </w:r>
      <w:r>
        <w:rPr>
          <w:rFonts w:hint="eastAsia" w:ascii="宋体" w:hAnsi="宋体" w:eastAsia="宋体" w:cs="宋体"/>
          <w:color w:val="000000"/>
          <w:kern w:val="2"/>
          <w:sz w:val="24"/>
          <w:szCs w:val="24"/>
          <w:lang w:val="en" w:eastAsia="zh-CN" w:bidi="ar-SA"/>
        </w:rPr>
        <w:t>国务院关于全面实施预算绩效管理的意见》（中发〔2018〕34号）、西藏自治区人民政府《关于全面实施预算绩效管理的实施意见》（藏党发〔2020〕7号）部署的要求，以预算资金为主线，梳理部门预算执行过程中涉及的目标管理、预算管理、资产管理等内容，综合分析部门的管理效率，落实部门预算主体责任，提高部门资金、资产等资源统筹配置能力；以战略目标和职责目标为基础，综合评价部门履职结果，反映财政资金支出结果，提升部门整体预算绩效管理水平。</w:t>
      </w:r>
    </w:p>
    <w:p w14:paraId="594E5385">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2.评价对象和范围</w:t>
      </w:r>
    </w:p>
    <w:p w14:paraId="126CCDD6">
      <w:pPr>
        <w:pStyle w:val="4"/>
        <w:keepNext w:val="0"/>
        <w:keepLines w:val="0"/>
        <w:pageBreakBefore w:val="0"/>
        <w:numPr>
          <w:ilvl w:val="0"/>
          <w:numId w:val="0"/>
        </w:numPr>
        <w:kinsoku/>
        <w:wordWrap/>
        <w:overflowPunct/>
        <w:topLinePunct w:val="0"/>
        <w:autoSpaceDE/>
        <w:autoSpaceDN/>
        <w:bidi w:val="0"/>
        <w:adjustRightInd/>
        <w:snapToGrid/>
        <w:spacing w:before="165" w:beforeLines="50" w:beforeAutospacing="0" w:after="165" w:afterLines="50" w:afterAutospacing="0" w:line="360" w:lineRule="auto"/>
        <w:ind w:firstLine="480" w:firstLineChars="200"/>
        <w:jc w:val="both"/>
        <w:textAlignment w:val="auto"/>
        <w:rPr>
          <w:rFonts w:hint="eastAsia" w:ascii="宋体" w:hAnsi="宋体" w:eastAsia="宋体" w:cs="宋体"/>
          <w:color w:val="000000"/>
          <w:kern w:val="2"/>
          <w:sz w:val="24"/>
          <w:szCs w:val="24"/>
          <w:lang w:val="en-US" w:eastAsia="zh" w:bidi="ar-SA"/>
        </w:rPr>
      </w:pPr>
      <w:r>
        <w:rPr>
          <w:rFonts w:hint="eastAsia" w:ascii="宋体" w:hAnsi="宋体" w:eastAsia="宋体" w:cs="宋体"/>
          <w:color w:val="000000"/>
          <w:kern w:val="2"/>
          <w:sz w:val="24"/>
          <w:szCs w:val="24"/>
          <w:lang w:val="en" w:eastAsia="zh-CN" w:bidi="ar-SA"/>
        </w:rPr>
        <w:t>本次评价对象为</w:t>
      </w:r>
      <w:r>
        <w:rPr>
          <w:rFonts w:hint="eastAsia" w:ascii="宋体" w:hAnsi="宋体" w:eastAsia="宋体" w:cs="宋体"/>
          <w:color w:val="000000"/>
          <w:kern w:val="2"/>
          <w:sz w:val="24"/>
          <w:szCs w:val="24"/>
          <w:lang w:val="en" w:eastAsia="zh" w:bidi="ar-SA"/>
        </w:rPr>
        <w:t>林芝市公安局</w:t>
      </w:r>
      <w:r>
        <w:rPr>
          <w:rFonts w:hint="eastAsia" w:ascii="宋体" w:hAnsi="宋体" w:eastAsia="宋体" w:cs="宋体"/>
          <w:color w:val="000000"/>
          <w:kern w:val="2"/>
          <w:sz w:val="24"/>
          <w:szCs w:val="24"/>
          <w:lang w:val="en" w:eastAsia="zh-CN" w:bidi="ar-SA"/>
        </w:rPr>
        <w:t>，预算资金</w:t>
      </w:r>
      <w:r>
        <w:rPr>
          <w:rFonts w:hint="eastAsia" w:ascii="宋体" w:hAnsi="宋体" w:eastAsia="宋体" w:cs="宋体"/>
          <w:color w:val="000000"/>
          <w:kern w:val="2"/>
          <w:sz w:val="24"/>
          <w:szCs w:val="24"/>
          <w:lang w:val="en" w:eastAsia="zh" w:bidi="ar-SA"/>
        </w:rPr>
        <w:t>29,158.60</w:t>
      </w:r>
      <w:r>
        <w:rPr>
          <w:rFonts w:hint="eastAsia" w:ascii="宋体" w:hAnsi="宋体" w:eastAsia="宋体" w:cs="宋体"/>
          <w:color w:val="000000"/>
          <w:kern w:val="2"/>
          <w:sz w:val="24"/>
          <w:szCs w:val="24"/>
          <w:lang w:val="en" w:eastAsia="zh-CN" w:bidi="ar-SA"/>
        </w:rPr>
        <w:t>万元。评价时间范围：202</w:t>
      </w:r>
      <w:r>
        <w:rPr>
          <w:rFonts w:hint="eastAsia" w:ascii="宋体" w:hAnsi="宋体" w:eastAsia="宋体" w:cs="宋体"/>
          <w:color w:val="000000"/>
          <w:kern w:val="2"/>
          <w:sz w:val="24"/>
          <w:szCs w:val="24"/>
          <w:lang w:val="en-US" w:eastAsia="zh-CN" w:bidi="ar-SA"/>
        </w:rPr>
        <w:t>3</w:t>
      </w:r>
      <w:r>
        <w:rPr>
          <w:rFonts w:hint="eastAsia" w:ascii="宋体" w:hAnsi="宋体" w:eastAsia="宋体" w:cs="宋体"/>
          <w:color w:val="000000"/>
          <w:kern w:val="2"/>
          <w:sz w:val="24"/>
          <w:szCs w:val="24"/>
          <w:lang w:val="en" w:eastAsia="zh-CN" w:bidi="ar-SA"/>
        </w:rPr>
        <w:t>年</w:t>
      </w:r>
      <w:r>
        <w:rPr>
          <w:rFonts w:hint="eastAsia" w:eastAsia="宋体" w:cs="宋体"/>
          <w:color w:val="000000"/>
          <w:kern w:val="2"/>
          <w:sz w:val="24"/>
          <w:szCs w:val="24"/>
          <w:lang w:val="en-US" w:eastAsia="zh-CN" w:bidi="ar-SA"/>
        </w:rPr>
        <w:t>0</w:t>
      </w:r>
      <w:r>
        <w:rPr>
          <w:rFonts w:hint="eastAsia" w:ascii="宋体" w:hAnsi="宋体" w:eastAsia="宋体" w:cs="宋体"/>
          <w:color w:val="000000"/>
          <w:kern w:val="2"/>
          <w:sz w:val="24"/>
          <w:szCs w:val="24"/>
          <w:lang w:val="en" w:eastAsia="zh-CN" w:bidi="ar-SA"/>
        </w:rPr>
        <w:t>1月</w:t>
      </w:r>
      <w:r>
        <w:rPr>
          <w:rFonts w:hint="eastAsia" w:eastAsia="宋体" w:cs="宋体"/>
          <w:color w:val="000000"/>
          <w:kern w:val="2"/>
          <w:sz w:val="24"/>
          <w:szCs w:val="24"/>
          <w:lang w:val="en-US" w:eastAsia="zh-CN" w:bidi="ar-SA"/>
        </w:rPr>
        <w:t>0</w:t>
      </w:r>
      <w:r>
        <w:rPr>
          <w:rFonts w:hint="eastAsia" w:ascii="宋体" w:hAnsi="宋体" w:eastAsia="宋体" w:cs="宋体"/>
          <w:color w:val="000000"/>
          <w:kern w:val="2"/>
          <w:sz w:val="24"/>
          <w:szCs w:val="24"/>
          <w:lang w:val="en" w:eastAsia="zh-CN" w:bidi="ar-SA"/>
        </w:rPr>
        <w:t>1日至202</w:t>
      </w:r>
      <w:r>
        <w:rPr>
          <w:rFonts w:hint="eastAsia" w:ascii="宋体" w:hAnsi="宋体" w:eastAsia="宋体" w:cs="宋体"/>
          <w:color w:val="000000"/>
          <w:kern w:val="2"/>
          <w:sz w:val="24"/>
          <w:szCs w:val="24"/>
          <w:lang w:val="en-US" w:eastAsia="zh-CN" w:bidi="ar-SA"/>
        </w:rPr>
        <w:t>3</w:t>
      </w:r>
      <w:r>
        <w:rPr>
          <w:rFonts w:hint="eastAsia" w:ascii="宋体" w:hAnsi="宋体" w:eastAsia="宋体" w:cs="宋体"/>
          <w:color w:val="000000"/>
          <w:kern w:val="2"/>
          <w:sz w:val="24"/>
          <w:szCs w:val="24"/>
          <w:lang w:val="en" w:eastAsia="zh-CN" w:bidi="ar-SA"/>
        </w:rPr>
        <w:t>年12月31日。</w:t>
      </w:r>
    </w:p>
    <w:p w14:paraId="02978342">
      <w:pPr>
        <w:spacing w:before="156" w:beforeLines="50" w:after="156" w:afterLines="50" w:line="360" w:lineRule="auto"/>
        <w:ind w:firstLine="482" w:firstLineChars="200"/>
        <w:jc w:val="left"/>
        <w:outlineLvl w:val="1"/>
        <w:rPr>
          <w:rFonts w:hint="eastAsia" w:ascii="宋体" w:hAnsi="宋体" w:eastAsia="宋体" w:cs="宋体"/>
          <w:b/>
          <w:bCs/>
          <w:sz w:val="24"/>
          <w:lang w:val="en-US" w:eastAsia="zh-CN"/>
        </w:rPr>
      </w:pPr>
      <w:bookmarkStart w:id="29" w:name="_Toc4468"/>
      <w:bookmarkStart w:id="30" w:name="_Toc2914"/>
      <w:bookmarkStart w:id="31" w:name="_Toc10874"/>
      <w:r>
        <w:rPr>
          <w:rFonts w:hint="eastAsia" w:ascii="宋体" w:hAnsi="宋体" w:eastAsia="宋体" w:cs="宋体"/>
          <w:b/>
          <w:bCs/>
          <w:sz w:val="24"/>
          <w:lang w:val="en"/>
        </w:rPr>
        <w:t>（二）</w:t>
      </w:r>
      <w:r>
        <w:rPr>
          <w:rFonts w:hint="eastAsia" w:ascii="宋体" w:hAnsi="宋体" w:eastAsia="宋体" w:cs="宋体"/>
          <w:b/>
          <w:bCs/>
          <w:sz w:val="24"/>
          <w:lang w:val="en-US" w:eastAsia="zh-CN"/>
        </w:rPr>
        <w:t>评价依据、</w:t>
      </w:r>
      <w:r>
        <w:rPr>
          <w:rFonts w:hint="eastAsia" w:ascii="宋体" w:hAnsi="宋体" w:eastAsia="宋体" w:cs="宋体"/>
          <w:b/>
          <w:bCs/>
          <w:sz w:val="24"/>
          <w:lang w:val="en"/>
        </w:rPr>
        <w:t>绩效评价原则、评价方法、评价标准、评价指标体系</w:t>
      </w:r>
      <w:bookmarkEnd w:id="29"/>
      <w:bookmarkEnd w:id="30"/>
      <w:bookmarkEnd w:id="31"/>
    </w:p>
    <w:p w14:paraId="6C779097">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1.评价依据</w:t>
      </w:r>
    </w:p>
    <w:p w14:paraId="6570A8E3">
      <w:pPr>
        <w:pStyle w:val="4"/>
        <w:spacing w:line="360" w:lineRule="auto"/>
        <w:ind w:firstLine="480" w:firstLineChars="200"/>
        <w:jc w:val="left"/>
        <w:rPr>
          <w:rFonts w:hint="default" w:eastAsia="宋体" w:cs="宋体"/>
          <w:lang w:val="en-US" w:eastAsia="zh-CN"/>
        </w:rPr>
      </w:pPr>
      <w:r>
        <w:rPr>
          <w:rFonts w:hint="eastAsia" w:eastAsia="宋体" w:cs="宋体"/>
          <w:lang w:val="en-US" w:eastAsia="zh-CN"/>
        </w:rPr>
        <w:t>（1）</w:t>
      </w:r>
      <w:r>
        <w:rPr>
          <w:rFonts w:hint="default" w:eastAsia="宋体" w:cs="宋体"/>
          <w:lang w:val="en-US" w:eastAsia="zh-CN"/>
        </w:rPr>
        <w:t>《中华人民共和国预算法》</w:t>
      </w:r>
    </w:p>
    <w:p w14:paraId="73C956B0">
      <w:pPr>
        <w:pStyle w:val="4"/>
        <w:spacing w:line="360" w:lineRule="auto"/>
        <w:ind w:firstLine="480" w:firstLineChars="200"/>
        <w:jc w:val="left"/>
        <w:rPr>
          <w:rFonts w:hint="default" w:eastAsia="宋体" w:cs="宋体"/>
          <w:lang w:val="en-US" w:eastAsia="zh-CN"/>
        </w:rPr>
      </w:pPr>
      <w:r>
        <w:rPr>
          <w:rFonts w:hint="eastAsia" w:eastAsia="宋体" w:cs="宋体"/>
          <w:lang w:val="en-US" w:eastAsia="zh-CN"/>
        </w:rPr>
        <w:t>（2）</w:t>
      </w:r>
      <w:r>
        <w:rPr>
          <w:rFonts w:hint="default" w:eastAsia="宋体" w:cs="宋体"/>
          <w:lang w:val="en-US" w:eastAsia="zh-CN"/>
        </w:rPr>
        <w:t>《中华人民共和国预算法实施条例》</w:t>
      </w:r>
    </w:p>
    <w:p w14:paraId="7B030EEE">
      <w:pPr>
        <w:pStyle w:val="4"/>
        <w:spacing w:line="360" w:lineRule="auto"/>
        <w:ind w:firstLine="480" w:firstLineChars="200"/>
        <w:jc w:val="left"/>
        <w:rPr>
          <w:rFonts w:hint="default" w:eastAsia="宋体" w:cs="宋体"/>
          <w:lang w:val="en-US" w:eastAsia="zh-CN"/>
        </w:rPr>
      </w:pPr>
      <w:r>
        <w:rPr>
          <w:rFonts w:hint="eastAsia" w:eastAsia="宋体" w:cs="宋体"/>
          <w:lang w:val="en-US" w:eastAsia="zh-CN"/>
        </w:rPr>
        <w:t>（3）</w:t>
      </w:r>
      <w:r>
        <w:rPr>
          <w:rFonts w:hint="default" w:eastAsia="宋体" w:cs="宋体"/>
          <w:lang w:val="en-US" w:eastAsia="zh-CN"/>
        </w:rPr>
        <w:t>《中共中央</w:t>
      </w:r>
      <w:r>
        <w:rPr>
          <w:rFonts w:hint="eastAsia" w:eastAsia="宋体" w:cs="宋体"/>
          <w:lang w:val="en-US" w:eastAsia="zh-CN"/>
        </w:rPr>
        <w:t xml:space="preserve"> </w:t>
      </w:r>
      <w:r>
        <w:rPr>
          <w:rFonts w:hint="default" w:eastAsia="宋体" w:cs="宋体"/>
          <w:lang w:val="en-US" w:eastAsia="zh-CN"/>
        </w:rPr>
        <w:t>国务院关于全面实施预算绩效管理的意见》</w:t>
      </w:r>
      <w:r>
        <w:rPr>
          <w:rFonts w:hint="eastAsia" w:eastAsia="宋体" w:cs="宋体"/>
          <w:lang w:val="en-US" w:eastAsia="zh-CN"/>
        </w:rPr>
        <w:t>（</w:t>
      </w:r>
      <w:r>
        <w:rPr>
          <w:rFonts w:hint="default" w:eastAsia="宋体" w:cs="宋体"/>
          <w:lang w:val="en-US" w:eastAsia="zh-CN"/>
        </w:rPr>
        <w:t>中发</w:t>
      </w:r>
      <w:r>
        <w:rPr>
          <w:rFonts w:hint="eastAsia" w:eastAsia="宋体" w:cs="宋体"/>
          <w:lang w:val="en-US" w:eastAsia="zh-CN"/>
        </w:rPr>
        <w:t>〔</w:t>
      </w:r>
      <w:r>
        <w:rPr>
          <w:rFonts w:hint="default" w:eastAsia="宋体" w:cs="宋体"/>
          <w:lang w:val="en-US" w:eastAsia="zh-CN"/>
        </w:rPr>
        <w:t>2018</w:t>
      </w:r>
      <w:r>
        <w:rPr>
          <w:rFonts w:hint="eastAsia" w:eastAsia="宋体" w:cs="宋体"/>
          <w:lang w:val="en-US" w:eastAsia="zh-CN"/>
        </w:rPr>
        <w:t>〕</w:t>
      </w:r>
      <w:r>
        <w:rPr>
          <w:rFonts w:hint="default" w:eastAsia="宋体" w:cs="宋体"/>
          <w:lang w:val="en-US" w:eastAsia="zh-CN"/>
        </w:rPr>
        <w:t>34号</w:t>
      </w:r>
      <w:r>
        <w:rPr>
          <w:rFonts w:hint="eastAsia" w:eastAsia="宋体" w:cs="宋体"/>
          <w:lang w:val="en-US" w:eastAsia="zh-CN"/>
        </w:rPr>
        <w:t>）</w:t>
      </w:r>
    </w:p>
    <w:p w14:paraId="439A0D25">
      <w:pPr>
        <w:pStyle w:val="4"/>
        <w:spacing w:line="360" w:lineRule="auto"/>
        <w:ind w:firstLine="480" w:firstLineChars="200"/>
        <w:jc w:val="left"/>
        <w:rPr>
          <w:rFonts w:hint="default" w:eastAsia="宋体" w:cs="宋体"/>
          <w:lang w:val="en-US" w:eastAsia="zh-CN"/>
        </w:rPr>
      </w:pPr>
      <w:r>
        <w:rPr>
          <w:rFonts w:hint="eastAsia" w:eastAsia="宋体" w:cs="宋体"/>
          <w:lang w:val="en-US" w:eastAsia="zh-CN"/>
        </w:rPr>
        <w:t>（4）</w:t>
      </w:r>
      <w:r>
        <w:rPr>
          <w:rFonts w:hint="default" w:eastAsia="宋体" w:cs="宋体"/>
          <w:lang w:val="en-US" w:eastAsia="zh-CN"/>
        </w:rPr>
        <w:t>《国务院办公厅关于政府向社会力量购买服务的指导意见》</w:t>
      </w:r>
      <w:r>
        <w:rPr>
          <w:rFonts w:hint="eastAsia" w:eastAsia="宋体" w:cs="宋体"/>
          <w:lang w:val="en-US" w:eastAsia="zh-CN"/>
        </w:rPr>
        <w:t>（</w:t>
      </w:r>
      <w:r>
        <w:rPr>
          <w:rFonts w:hint="default" w:eastAsia="宋体" w:cs="宋体"/>
          <w:lang w:val="en-US" w:eastAsia="zh-CN"/>
        </w:rPr>
        <w:t>国办发</w:t>
      </w:r>
      <w:r>
        <w:rPr>
          <w:rFonts w:hint="eastAsia" w:eastAsia="宋体" w:cs="宋体"/>
          <w:lang w:val="en-US" w:eastAsia="zh-CN"/>
        </w:rPr>
        <w:t>〔</w:t>
      </w:r>
      <w:r>
        <w:rPr>
          <w:rFonts w:hint="default" w:eastAsia="宋体" w:cs="宋体"/>
          <w:lang w:val="en-US" w:eastAsia="zh-CN"/>
        </w:rPr>
        <w:t>2013</w:t>
      </w:r>
      <w:r>
        <w:rPr>
          <w:rFonts w:hint="eastAsia" w:eastAsia="宋体" w:cs="宋体"/>
          <w:lang w:val="en-US" w:eastAsia="zh-CN"/>
        </w:rPr>
        <w:t>〕</w:t>
      </w:r>
      <w:r>
        <w:rPr>
          <w:rFonts w:hint="default" w:eastAsia="宋体" w:cs="宋体"/>
          <w:lang w:val="en-US" w:eastAsia="zh-CN"/>
        </w:rPr>
        <w:t>96号</w:t>
      </w:r>
      <w:r>
        <w:rPr>
          <w:rFonts w:hint="eastAsia" w:eastAsia="宋体" w:cs="宋体"/>
          <w:lang w:val="en-US" w:eastAsia="zh-CN"/>
        </w:rPr>
        <w:t>）</w:t>
      </w:r>
    </w:p>
    <w:p w14:paraId="7016EB17">
      <w:pPr>
        <w:pStyle w:val="4"/>
        <w:spacing w:line="360" w:lineRule="auto"/>
        <w:ind w:firstLine="480" w:firstLineChars="200"/>
        <w:jc w:val="left"/>
        <w:rPr>
          <w:rFonts w:hint="default" w:eastAsia="宋体" w:cs="宋体"/>
          <w:lang w:val="en-US" w:eastAsia="zh-CN"/>
        </w:rPr>
      </w:pPr>
      <w:r>
        <w:rPr>
          <w:rFonts w:hint="eastAsia" w:eastAsia="宋体" w:cs="宋体"/>
          <w:lang w:val="en-US" w:eastAsia="zh-CN"/>
        </w:rPr>
        <w:t>（5）</w:t>
      </w:r>
      <w:r>
        <w:rPr>
          <w:rFonts w:hint="default" w:eastAsia="宋体" w:cs="宋体"/>
          <w:lang w:val="en-US" w:eastAsia="zh-CN"/>
        </w:rPr>
        <w:t>《财政支出绩效评价管理暂行办法》</w:t>
      </w:r>
      <w:r>
        <w:rPr>
          <w:rFonts w:hint="eastAsia" w:eastAsia="宋体" w:cs="宋体"/>
          <w:lang w:val="en-US" w:eastAsia="zh-CN"/>
        </w:rPr>
        <w:t>（</w:t>
      </w:r>
      <w:r>
        <w:rPr>
          <w:rFonts w:hint="default" w:eastAsia="宋体" w:cs="宋体"/>
          <w:lang w:val="en-US" w:eastAsia="zh-CN"/>
        </w:rPr>
        <w:t>财预</w:t>
      </w:r>
      <w:r>
        <w:rPr>
          <w:rFonts w:hint="eastAsia" w:eastAsia="宋体" w:cs="宋体"/>
          <w:lang w:val="en-US" w:eastAsia="zh-CN"/>
        </w:rPr>
        <w:t>〔</w:t>
      </w:r>
      <w:r>
        <w:rPr>
          <w:rFonts w:hint="default" w:eastAsia="宋体" w:cs="宋体"/>
          <w:lang w:val="en-US" w:eastAsia="zh-CN"/>
        </w:rPr>
        <w:t>20</w:t>
      </w:r>
      <w:r>
        <w:rPr>
          <w:rFonts w:hint="eastAsia" w:eastAsia="宋体" w:cs="宋体"/>
          <w:lang w:val="en-US" w:eastAsia="zh-CN"/>
        </w:rPr>
        <w:t>11〕</w:t>
      </w:r>
      <w:r>
        <w:rPr>
          <w:rFonts w:hint="default" w:eastAsia="宋体" w:cs="宋体"/>
          <w:lang w:val="en-US" w:eastAsia="zh-CN"/>
        </w:rPr>
        <w:t>285号</w:t>
      </w:r>
      <w:r>
        <w:rPr>
          <w:rFonts w:hint="eastAsia" w:eastAsia="宋体" w:cs="宋体"/>
          <w:lang w:val="en-US" w:eastAsia="zh-CN"/>
        </w:rPr>
        <w:t>）</w:t>
      </w:r>
    </w:p>
    <w:p w14:paraId="55334D76">
      <w:pPr>
        <w:pStyle w:val="4"/>
        <w:spacing w:line="360" w:lineRule="auto"/>
        <w:ind w:firstLine="480" w:firstLineChars="200"/>
        <w:jc w:val="left"/>
        <w:rPr>
          <w:rFonts w:hint="default" w:eastAsia="宋体" w:cs="宋体"/>
          <w:lang w:val="en-US" w:eastAsia="zh-CN"/>
        </w:rPr>
      </w:pPr>
      <w:r>
        <w:rPr>
          <w:rFonts w:hint="eastAsia" w:eastAsia="宋体" w:cs="宋体"/>
          <w:lang w:val="en-US" w:eastAsia="zh-CN"/>
        </w:rPr>
        <w:t>（6）</w:t>
      </w:r>
      <w:r>
        <w:rPr>
          <w:rFonts w:hint="default" w:eastAsia="宋体" w:cs="宋体"/>
          <w:lang w:val="en-US" w:eastAsia="zh-CN"/>
        </w:rPr>
        <w:t>《中共西藏自治区委员会西藏自治区人民政府关于全面实施预算绩效管理的实施意见》</w:t>
      </w:r>
      <w:r>
        <w:rPr>
          <w:rFonts w:hint="eastAsia" w:eastAsia="宋体" w:cs="宋体"/>
          <w:lang w:val="en-US" w:eastAsia="zh-CN"/>
        </w:rPr>
        <w:t>（</w:t>
      </w:r>
      <w:r>
        <w:rPr>
          <w:rFonts w:hint="default" w:eastAsia="宋体" w:cs="宋体"/>
          <w:lang w:val="en-US" w:eastAsia="zh-CN"/>
        </w:rPr>
        <w:t>藏党发</w:t>
      </w:r>
      <w:r>
        <w:rPr>
          <w:rFonts w:hint="eastAsia" w:eastAsia="宋体" w:cs="宋体"/>
          <w:lang w:val="en-US" w:eastAsia="zh-CN"/>
        </w:rPr>
        <w:t>〔</w:t>
      </w:r>
      <w:r>
        <w:rPr>
          <w:rFonts w:hint="default" w:eastAsia="宋体" w:cs="宋体"/>
          <w:lang w:val="en-US" w:eastAsia="zh-CN"/>
        </w:rPr>
        <w:t>2020</w:t>
      </w:r>
      <w:r>
        <w:rPr>
          <w:rFonts w:hint="eastAsia" w:eastAsia="宋体" w:cs="宋体"/>
          <w:lang w:val="en-US" w:eastAsia="zh-CN"/>
        </w:rPr>
        <w:t>〕</w:t>
      </w:r>
      <w:r>
        <w:rPr>
          <w:rFonts w:hint="default" w:eastAsia="宋体" w:cs="宋体"/>
          <w:lang w:val="en-US" w:eastAsia="zh-CN"/>
        </w:rPr>
        <w:t>7号</w:t>
      </w:r>
      <w:r>
        <w:rPr>
          <w:rFonts w:hint="eastAsia" w:eastAsia="宋体" w:cs="宋体"/>
          <w:lang w:val="en-US" w:eastAsia="zh-CN"/>
        </w:rPr>
        <w:t>）</w:t>
      </w:r>
    </w:p>
    <w:p w14:paraId="23290E1A">
      <w:pPr>
        <w:pStyle w:val="4"/>
        <w:spacing w:line="360" w:lineRule="auto"/>
        <w:ind w:firstLine="480" w:firstLineChars="200"/>
        <w:jc w:val="left"/>
        <w:rPr>
          <w:rFonts w:hint="default" w:eastAsia="宋体" w:cs="宋体"/>
          <w:lang w:val="en-US" w:eastAsia="zh-CN"/>
        </w:rPr>
      </w:pPr>
      <w:r>
        <w:rPr>
          <w:rFonts w:hint="eastAsia" w:eastAsia="宋体" w:cs="宋体"/>
          <w:lang w:val="en-US" w:eastAsia="zh-CN"/>
        </w:rPr>
        <w:t>（7）</w:t>
      </w:r>
      <w:r>
        <w:rPr>
          <w:rFonts w:hint="default" w:eastAsia="宋体" w:cs="宋体"/>
          <w:lang w:val="en-US" w:eastAsia="zh-CN"/>
        </w:rPr>
        <w:t>《西藏自治区财政支出预算绩效评价管理暂行办法》</w:t>
      </w:r>
      <w:r>
        <w:rPr>
          <w:rFonts w:hint="eastAsia" w:eastAsia="宋体" w:cs="宋体"/>
          <w:lang w:val="en-US" w:eastAsia="zh-CN"/>
        </w:rPr>
        <w:t>（</w:t>
      </w:r>
      <w:r>
        <w:rPr>
          <w:rFonts w:hint="default" w:eastAsia="宋体" w:cs="宋体"/>
          <w:lang w:val="en-US" w:eastAsia="zh-CN"/>
        </w:rPr>
        <w:t>藏财预字</w:t>
      </w:r>
      <w:r>
        <w:rPr>
          <w:rFonts w:hint="eastAsia" w:eastAsia="宋体" w:cs="宋体"/>
          <w:lang w:val="en-US" w:eastAsia="zh-CN"/>
        </w:rPr>
        <w:t>〔</w:t>
      </w:r>
      <w:r>
        <w:rPr>
          <w:rFonts w:hint="default" w:eastAsia="宋体" w:cs="宋体"/>
          <w:lang w:val="en-US" w:eastAsia="zh-CN"/>
        </w:rPr>
        <w:t>2018</w:t>
      </w:r>
      <w:r>
        <w:rPr>
          <w:rFonts w:hint="eastAsia" w:eastAsia="宋体" w:cs="宋体"/>
          <w:lang w:val="en-US" w:eastAsia="zh-CN"/>
        </w:rPr>
        <w:t>〕</w:t>
      </w:r>
      <w:r>
        <w:rPr>
          <w:rFonts w:hint="default" w:eastAsia="宋体" w:cs="宋体"/>
          <w:lang w:val="en-US" w:eastAsia="zh-CN"/>
        </w:rPr>
        <w:t>89号</w:t>
      </w:r>
      <w:r>
        <w:rPr>
          <w:rFonts w:hint="eastAsia" w:eastAsia="宋体" w:cs="宋体"/>
          <w:lang w:val="en-US" w:eastAsia="zh-CN"/>
        </w:rPr>
        <w:t>）</w:t>
      </w:r>
    </w:p>
    <w:p w14:paraId="621FF007">
      <w:pPr>
        <w:pStyle w:val="4"/>
        <w:spacing w:line="360" w:lineRule="auto"/>
        <w:ind w:firstLine="480" w:firstLineChars="200"/>
        <w:jc w:val="left"/>
        <w:rPr>
          <w:rFonts w:hint="default" w:eastAsia="宋体" w:cs="宋体"/>
          <w:lang w:val="en-US" w:eastAsia="zh-CN"/>
        </w:rPr>
      </w:pPr>
      <w:r>
        <w:rPr>
          <w:rFonts w:hint="eastAsia" w:eastAsia="宋体" w:cs="宋体"/>
          <w:lang w:val="en-US" w:eastAsia="zh-CN"/>
        </w:rPr>
        <w:t>（8）</w:t>
      </w:r>
      <w:r>
        <w:rPr>
          <w:rFonts w:hint="default" w:eastAsia="宋体" w:cs="宋体"/>
          <w:lang w:val="en-US" w:eastAsia="zh-CN"/>
        </w:rPr>
        <w:t>《西藏自治区预算</w:t>
      </w:r>
      <w:r>
        <w:rPr>
          <w:rFonts w:hint="eastAsia" w:eastAsia="宋体" w:cs="宋体"/>
          <w:lang w:val="en-US" w:eastAsia="zh-CN"/>
        </w:rPr>
        <w:t>绩</w:t>
      </w:r>
      <w:r>
        <w:rPr>
          <w:rFonts w:hint="default" w:eastAsia="宋体" w:cs="宋体"/>
          <w:lang w:val="en-US" w:eastAsia="zh-CN"/>
        </w:rPr>
        <w:t>效评价指标体系框架》</w:t>
      </w:r>
      <w:r>
        <w:rPr>
          <w:rFonts w:hint="eastAsia" w:eastAsia="宋体" w:cs="宋体"/>
          <w:lang w:val="en-US" w:eastAsia="zh-CN"/>
        </w:rPr>
        <w:t>（</w:t>
      </w:r>
      <w:r>
        <w:rPr>
          <w:rFonts w:hint="default" w:eastAsia="宋体" w:cs="宋体"/>
          <w:lang w:val="en-US" w:eastAsia="zh-CN"/>
        </w:rPr>
        <w:t>藏财预</w:t>
      </w:r>
      <w:r>
        <w:rPr>
          <w:rFonts w:hint="eastAsia" w:eastAsia="宋体" w:cs="宋体"/>
          <w:lang w:val="en-US" w:eastAsia="zh-CN"/>
        </w:rPr>
        <w:t>〔</w:t>
      </w:r>
      <w:r>
        <w:rPr>
          <w:rFonts w:hint="default" w:eastAsia="宋体" w:cs="宋体"/>
          <w:lang w:val="en-US" w:eastAsia="zh-CN"/>
        </w:rPr>
        <w:t>2018</w:t>
      </w:r>
      <w:r>
        <w:rPr>
          <w:rFonts w:hint="eastAsia" w:eastAsia="宋体" w:cs="宋体"/>
          <w:lang w:val="en-US" w:eastAsia="zh-CN"/>
        </w:rPr>
        <w:t>〕</w:t>
      </w:r>
      <w:r>
        <w:rPr>
          <w:rFonts w:hint="default" w:eastAsia="宋体" w:cs="宋体"/>
          <w:lang w:val="en-US" w:eastAsia="zh-CN"/>
        </w:rPr>
        <w:t>174号</w:t>
      </w:r>
      <w:r>
        <w:rPr>
          <w:rFonts w:hint="eastAsia" w:eastAsia="宋体" w:cs="宋体"/>
          <w:lang w:val="en-US" w:eastAsia="zh-CN"/>
        </w:rPr>
        <w:t>）</w:t>
      </w:r>
    </w:p>
    <w:p w14:paraId="0FB7286A">
      <w:pPr>
        <w:pStyle w:val="4"/>
        <w:spacing w:line="360" w:lineRule="auto"/>
        <w:ind w:firstLine="480" w:firstLineChars="200"/>
        <w:jc w:val="left"/>
        <w:rPr>
          <w:rFonts w:hint="default" w:eastAsia="宋体" w:cs="宋体"/>
          <w:lang w:val="en-US" w:eastAsia="zh-CN"/>
        </w:rPr>
      </w:pPr>
      <w:r>
        <w:rPr>
          <w:rFonts w:hint="eastAsia" w:eastAsia="宋体" w:cs="宋体"/>
          <w:lang w:val="en-US" w:eastAsia="zh-CN"/>
        </w:rPr>
        <w:t>（</w:t>
      </w:r>
      <w:r>
        <w:rPr>
          <w:rFonts w:hint="default" w:eastAsia="宋体" w:cs="宋体"/>
          <w:lang w:val="en-US" w:eastAsia="zh-CN"/>
        </w:rPr>
        <w:t>9</w:t>
      </w:r>
      <w:r>
        <w:rPr>
          <w:rFonts w:hint="eastAsia" w:eastAsia="宋体" w:cs="宋体"/>
          <w:lang w:val="en-US" w:eastAsia="zh-CN"/>
        </w:rPr>
        <w:t>）</w:t>
      </w:r>
      <w:r>
        <w:rPr>
          <w:rFonts w:hint="default" w:eastAsia="宋体" w:cs="宋体"/>
          <w:lang w:val="en-US" w:eastAsia="zh-CN"/>
        </w:rPr>
        <w:t>其他相关法律法规</w:t>
      </w:r>
    </w:p>
    <w:p w14:paraId="4414E209">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2.评价原则</w:t>
      </w:r>
    </w:p>
    <w:p w14:paraId="5BA1E8FA">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color w:val="000000"/>
          <w:kern w:val="2"/>
          <w:sz w:val="24"/>
          <w:szCs w:val="24"/>
          <w:lang w:val="en-US" w:eastAsia="zh-CN" w:bidi="ar-SA"/>
        </w:rPr>
      </w:pPr>
      <w:r>
        <w:rPr>
          <w:rFonts w:hint="default" w:ascii="宋体" w:hAnsi="宋体" w:eastAsia="宋体" w:cs="宋体"/>
          <w:color w:val="000000"/>
          <w:kern w:val="2"/>
          <w:sz w:val="24"/>
          <w:szCs w:val="24"/>
          <w:lang w:val="en-US" w:eastAsia="zh-CN" w:bidi="ar-SA"/>
        </w:rPr>
        <w:t>科学规范原则。绩效评价应当严格执行国家、自治区规定的程序、按照科学可行的要求执行。</w:t>
      </w:r>
    </w:p>
    <w:p w14:paraId="7C53A252">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color w:val="000000"/>
          <w:kern w:val="2"/>
          <w:sz w:val="24"/>
          <w:szCs w:val="24"/>
          <w:lang w:val="en-US" w:eastAsia="zh-CN" w:bidi="ar-SA"/>
        </w:rPr>
      </w:pPr>
      <w:r>
        <w:rPr>
          <w:rFonts w:hint="default" w:ascii="宋体" w:hAnsi="宋体" w:eastAsia="宋体" w:cs="宋体"/>
          <w:color w:val="000000"/>
          <w:kern w:val="2"/>
          <w:sz w:val="24"/>
          <w:szCs w:val="24"/>
          <w:lang w:val="en-US" w:eastAsia="zh-CN" w:bidi="ar-SA"/>
        </w:rPr>
        <w:t>客观公正原则。绩效评价应当符合真实、客观、公正的要求，做到指标科学、标准客观、权重合理、数据准确、资料可靠、程序规范、评价公正，绩效评价报告要内容完整、依据充分、分析透彻、逻辑清晰、客观公正。</w:t>
      </w:r>
    </w:p>
    <w:p w14:paraId="27D4072F">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color w:val="000000"/>
          <w:kern w:val="2"/>
          <w:sz w:val="24"/>
          <w:szCs w:val="24"/>
          <w:lang w:val="en-US" w:eastAsia="zh-CN" w:bidi="ar-SA"/>
        </w:rPr>
      </w:pPr>
      <w:r>
        <w:rPr>
          <w:rFonts w:hint="default" w:ascii="宋体" w:hAnsi="宋体" w:eastAsia="宋体" w:cs="宋体"/>
          <w:color w:val="000000"/>
          <w:kern w:val="2"/>
          <w:sz w:val="24"/>
          <w:szCs w:val="24"/>
          <w:lang w:val="en-US" w:eastAsia="zh-CN" w:bidi="ar-SA"/>
        </w:rPr>
        <w:t>绩效相关原则。绩效评价应当针对具体支出及其产出绩效进行，评价指标与支出目标具有直接的联系，评价结果能够清晰反映支出和产出绩效之间的紧密对应关系。</w:t>
      </w:r>
    </w:p>
    <w:p w14:paraId="38FE7F7A">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default"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3.评价方法</w:t>
      </w:r>
    </w:p>
    <w:p w14:paraId="10612682">
      <w:pPr>
        <w:pStyle w:val="4"/>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000000"/>
          <w:kern w:val="2"/>
          <w:sz w:val="24"/>
          <w:szCs w:val="24"/>
          <w:lang w:val="en-US" w:eastAsia="zh-CN" w:bidi="ar-SA"/>
        </w:rPr>
      </w:pPr>
      <w:r>
        <w:rPr>
          <w:rFonts w:hint="default" w:ascii="宋体" w:hAnsi="宋体" w:eastAsia="宋体" w:cs="宋体"/>
          <w:color w:val="000000"/>
          <w:kern w:val="2"/>
          <w:sz w:val="24"/>
          <w:szCs w:val="24"/>
          <w:lang w:val="en-US" w:eastAsia="zh-CN" w:bidi="ar-SA"/>
        </w:rPr>
        <w:t>为确保评价过程、结论的科学与准确性，根据评价工作需要及部门特点，评价工作中主要采用包括比较法、因素分析法、公众评价法和其他评价方法等，以充分采集和核实评价所需要的基础数据资料，进行科学的分析处理，得出评价结论。</w:t>
      </w:r>
    </w:p>
    <w:p w14:paraId="5C279756">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4.评价标准</w:t>
      </w:r>
    </w:p>
    <w:p w14:paraId="52792212">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color w:val="000000"/>
          <w:kern w:val="2"/>
          <w:sz w:val="24"/>
          <w:szCs w:val="24"/>
          <w:lang w:val="en-US" w:eastAsia="zh-CN" w:bidi="ar-SA"/>
        </w:rPr>
      </w:pPr>
      <w:r>
        <w:rPr>
          <w:rFonts w:hint="default" w:ascii="宋体" w:hAnsi="宋体" w:eastAsia="宋体" w:cs="宋体"/>
          <w:color w:val="000000"/>
          <w:kern w:val="2"/>
          <w:sz w:val="24"/>
          <w:szCs w:val="24"/>
          <w:lang w:val="en-US" w:eastAsia="zh-CN" w:bidi="ar-SA"/>
        </w:rPr>
        <w:t>本次绩效评价采用的评价标准主要为：</w:t>
      </w:r>
    </w:p>
    <w:p w14:paraId="245E78F6">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color w:val="000000"/>
          <w:kern w:val="2"/>
          <w:sz w:val="24"/>
          <w:szCs w:val="24"/>
          <w:lang w:val="en-US" w:eastAsia="zh-CN" w:bidi="ar-SA"/>
        </w:rPr>
      </w:pPr>
      <w:r>
        <w:rPr>
          <w:rFonts w:hint="default" w:ascii="宋体" w:hAnsi="宋体" w:eastAsia="宋体" w:cs="宋体"/>
          <w:color w:val="000000"/>
          <w:kern w:val="2"/>
          <w:sz w:val="24"/>
          <w:szCs w:val="24"/>
          <w:lang w:val="en-US" w:eastAsia="zh-CN" w:bidi="ar-SA"/>
        </w:rPr>
        <w:t>（1）计划标准</w:t>
      </w:r>
      <w:r>
        <w:rPr>
          <w:rFonts w:hint="eastAsia" w:eastAsia="宋体" w:cs="宋体"/>
          <w:color w:val="000000"/>
          <w:kern w:val="2"/>
          <w:sz w:val="24"/>
          <w:szCs w:val="24"/>
          <w:lang w:val="en-US" w:eastAsia="zh-CN" w:bidi="ar-SA"/>
        </w:rPr>
        <w:t>。</w:t>
      </w:r>
      <w:r>
        <w:rPr>
          <w:rFonts w:hint="default" w:ascii="宋体" w:hAnsi="宋体" w:eastAsia="宋体" w:cs="宋体"/>
          <w:color w:val="000000"/>
          <w:kern w:val="2"/>
          <w:sz w:val="24"/>
          <w:szCs w:val="24"/>
          <w:lang w:val="en-US" w:eastAsia="zh-CN" w:bidi="ar-SA"/>
        </w:rPr>
        <w:t>本次评价中部分产出指标采用计划标准作为评价标准，计划标准来源于部门中长期发展规划、部门重点工作任务计划以及最高人民检察院下达任务量。</w:t>
      </w:r>
    </w:p>
    <w:p w14:paraId="4024E751">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color w:val="000000"/>
          <w:kern w:val="2"/>
          <w:sz w:val="24"/>
          <w:szCs w:val="24"/>
          <w:lang w:val="en-US" w:eastAsia="zh-CN" w:bidi="ar-SA"/>
        </w:rPr>
      </w:pPr>
      <w:r>
        <w:rPr>
          <w:rFonts w:hint="default" w:ascii="宋体" w:hAnsi="宋体" w:eastAsia="宋体" w:cs="宋体"/>
          <w:color w:val="000000"/>
          <w:kern w:val="2"/>
          <w:sz w:val="24"/>
          <w:szCs w:val="24"/>
          <w:lang w:val="en-US" w:eastAsia="zh-CN" w:bidi="ar-SA"/>
        </w:rPr>
        <w:t>（2）历史标准</w:t>
      </w:r>
      <w:r>
        <w:rPr>
          <w:rFonts w:hint="eastAsia" w:eastAsia="宋体" w:cs="宋体"/>
          <w:color w:val="000000"/>
          <w:kern w:val="2"/>
          <w:sz w:val="24"/>
          <w:szCs w:val="24"/>
          <w:lang w:val="en-US" w:eastAsia="zh-CN" w:bidi="ar-SA"/>
        </w:rPr>
        <w:t>。</w:t>
      </w:r>
      <w:r>
        <w:rPr>
          <w:rFonts w:hint="default" w:ascii="宋体" w:hAnsi="宋体" w:eastAsia="宋体" w:cs="宋体"/>
          <w:color w:val="000000"/>
          <w:kern w:val="2"/>
          <w:sz w:val="24"/>
          <w:szCs w:val="24"/>
          <w:lang w:val="en-US" w:eastAsia="zh-CN" w:bidi="ar-SA"/>
        </w:rPr>
        <w:t>在本次评价中部分效益指标采用历史标准作为评价标准</w:t>
      </w:r>
      <w:r>
        <w:rPr>
          <w:rFonts w:hint="eastAsia" w:ascii="宋体" w:hAnsi="宋体" w:eastAsia="宋体" w:cs="宋体"/>
          <w:color w:val="000000"/>
          <w:kern w:val="2"/>
          <w:sz w:val="24"/>
          <w:szCs w:val="24"/>
          <w:lang w:val="en-US" w:eastAsia="zh-CN" w:bidi="ar-SA"/>
        </w:rPr>
        <w:t>，</w:t>
      </w:r>
      <w:r>
        <w:rPr>
          <w:rFonts w:hint="default" w:ascii="宋体" w:hAnsi="宋体" w:eastAsia="宋体" w:cs="宋体"/>
          <w:color w:val="000000"/>
          <w:kern w:val="2"/>
          <w:sz w:val="24"/>
          <w:szCs w:val="24"/>
          <w:lang w:val="en-US" w:eastAsia="zh-CN" w:bidi="ar-SA"/>
        </w:rPr>
        <w:t>历史标准来源于以前年度相关数据统计。</w:t>
      </w:r>
    </w:p>
    <w:p w14:paraId="5AF05174">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color w:val="000000"/>
          <w:kern w:val="2"/>
          <w:sz w:val="24"/>
          <w:szCs w:val="24"/>
          <w:lang w:val="en-US" w:eastAsia="zh-CN" w:bidi="ar-SA"/>
        </w:rPr>
      </w:pPr>
      <w:r>
        <w:rPr>
          <w:rFonts w:hint="default" w:ascii="宋体" w:hAnsi="宋体" w:eastAsia="宋体" w:cs="宋体"/>
          <w:color w:val="000000"/>
          <w:kern w:val="2"/>
          <w:sz w:val="24"/>
          <w:szCs w:val="24"/>
          <w:lang w:val="en-US" w:eastAsia="zh-CN" w:bidi="ar-SA"/>
        </w:rPr>
        <w:t>（3）行业标准。本次评价将检察院履职目标要求作为行业标准参考。</w:t>
      </w:r>
    </w:p>
    <w:p w14:paraId="0500EE59">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color w:val="000000"/>
          <w:kern w:val="2"/>
          <w:sz w:val="24"/>
          <w:szCs w:val="24"/>
          <w:lang w:val="en-US" w:eastAsia="zh-CN" w:bidi="ar-SA"/>
        </w:rPr>
      </w:pPr>
      <w:r>
        <w:rPr>
          <w:rFonts w:hint="default" w:ascii="宋体" w:hAnsi="宋体" w:eastAsia="宋体" w:cs="宋体"/>
          <w:color w:val="000000"/>
          <w:kern w:val="2"/>
          <w:sz w:val="24"/>
          <w:szCs w:val="24"/>
          <w:lang w:val="en-US" w:eastAsia="zh-CN" w:bidi="ar-SA"/>
        </w:rPr>
        <w:t>（4）其他标准。财政部</w:t>
      </w:r>
      <w:r>
        <w:rPr>
          <w:rFonts w:hint="eastAsia" w:ascii="宋体" w:hAnsi="宋体" w:eastAsia="宋体" w:cs="宋体"/>
          <w:color w:val="000000"/>
          <w:kern w:val="2"/>
          <w:sz w:val="24"/>
          <w:szCs w:val="24"/>
          <w:lang w:val="en-US" w:eastAsia="zh-CN" w:bidi="ar-SA"/>
        </w:rPr>
        <w:t>等相关部门</w:t>
      </w:r>
      <w:r>
        <w:rPr>
          <w:rFonts w:hint="default" w:ascii="宋体" w:hAnsi="宋体" w:eastAsia="宋体" w:cs="宋体"/>
          <w:color w:val="000000"/>
          <w:kern w:val="2"/>
          <w:sz w:val="24"/>
          <w:szCs w:val="24"/>
          <w:lang w:val="en-US" w:eastAsia="zh-CN" w:bidi="ar-SA"/>
        </w:rPr>
        <w:t>认可的其他标准。本次评价中决策及过程指标采用其他标准。</w:t>
      </w:r>
    </w:p>
    <w:p w14:paraId="1A3B7C39">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default"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5.评价指标体系</w:t>
      </w:r>
    </w:p>
    <w:p w14:paraId="6F17E987">
      <w:pPr>
        <w:pStyle w:val="4"/>
        <w:keepNext w:val="0"/>
        <w:keepLines w:val="0"/>
        <w:suppressLineNumbers w:val="0"/>
        <w:spacing w:before="0" w:beforeAutospacing="0" w:after="0" w:afterAutospacing="0" w:line="360" w:lineRule="auto"/>
        <w:ind w:left="0" w:right="0" w:firstLine="480" w:firstLineChars="200"/>
        <w:jc w:val="both"/>
        <w:rPr>
          <w:rFonts w:hint="default" w:eastAsia="宋体" w:cs="宋体"/>
          <w:lang w:val="en-US" w:eastAsia="zh-CN" w:bidi="ar"/>
        </w:rPr>
      </w:pPr>
      <w:r>
        <w:rPr>
          <w:rFonts w:hint="default" w:eastAsia="宋体" w:cs="宋体"/>
          <w:lang w:val="en-US" w:eastAsia="zh-CN" w:bidi="ar"/>
        </w:rPr>
        <w:t>本次评价以《中共中央</w:t>
      </w:r>
      <w:r>
        <w:rPr>
          <w:rFonts w:hint="eastAsia" w:eastAsia="宋体" w:cs="宋体"/>
          <w:lang w:val="en-US" w:eastAsia="zh-CN" w:bidi="ar"/>
        </w:rPr>
        <w:t xml:space="preserve"> </w:t>
      </w:r>
      <w:r>
        <w:rPr>
          <w:rFonts w:hint="default" w:eastAsia="宋体" w:cs="宋体"/>
          <w:lang w:val="en-US" w:eastAsia="zh-CN" w:bidi="ar"/>
        </w:rPr>
        <w:t>国务院关于全面实施预算绩效管理的意见》（中发〔2018〕34号）要求为基础，构建“以部门规划、运行成本、基础管理、资产管理、预算管理等共性指标评价部门管理效率，以履职效能、社会效益、可持续发展能力、服务对象满意等个性指标评价部门履职结果”的评价体系框架。</w:t>
      </w:r>
    </w:p>
    <w:p w14:paraId="1AE37A91">
      <w:pPr>
        <w:pStyle w:val="4"/>
        <w:keepNext w:val="0"/>
        <w:keepLines w:val="0"/>
        <w:suppressLineNumbers w:val="0"/>
        <w:spacing w:before="0" w:beforeAutospacing="0" w:after="0" w:afterAutospacing="0" w:line="360" w:lineRule="auto"/>
        <w:ind w:left="0" w:right="0" w:firstLine="480" w:firstLineChars="200"/>
        <w:jc w:val="both"/>
        <w:rPr>
          <w:rFonts w:hint="eastAsia" w:eastAsia="宋体" w:cs="宋体"/>
          <w:lang w:val="zh-CN" w:eastAsia="zh-CN" w:bidi="ar"/>
        </w:rPr>
      </w:pPr>
      <w:r>
        <w:rPr>
          <w:rFonts w:hint="eastAsia" w:eastAsia="宋体" w:cs="宋体"/>
          <w:lang w:val="zh-CN" w:eastAsia="zh-CN" w:bidi="ar"/>
        </w:rPr>
        <w:t>绩效评价结果量化为百分制综合评分，并按照综合评分进行分级。综合评分为90 分（含）以上的为“优”，</w:t>
      </w:r>
      <w:r>
        <w:rPr>
          <w:rFonts w:hint="eastAsia" w:eastAsia="宋体" w:cs="宋体"/>
          <w:lang w:val="en-US" w:eastAsia="zh-CN" w:bidi="ar"/>
        </w:rPr>
        <w:t>75</w:t>
      </w:r>
      <w:r>
        <w:rPr>
          <w:rFonts w:hint="eastAsia" w:eastAsia="宋体" w:cs="宋体"/>
          <w:lang w:val="zh-CN" w:eastAsia="zh-CN" w:bidi="ar"/>
        </w:rPr>
        <w:t>分（含）至90分的为“良”，60分（含）至</w:t>
      </w:r>
      <w:r>
        <w:rPr>
          <w:rFonts w:hint="eastAsia" w:eastAsia="宋体" w:cs="宋体"/>
          <w:lang w:val="en-US" w:eastAsia="zh-CN" w:bidi="ar"/>
        </w:rPr>
        <w:t>75</w:t>
      </w:r>
      <w:r>
        <w:rPr>
          <w:rFonts w:hint="eastAsia" w:eastAsia="宋体" w:cs="宋体"/>
          <w:lang w:val="zh-CN" w:eastAsia="zh-CN" w:bidi="ar"/>
        </w:rPr>
        <w:t xml:space="preserve">分的为“中”，60分以下的为“差”。 </w:t>
      </w:r>
    </w:p>
    <w:p w14:paraId="179EC18E">
      <w:pPr>
        <w:spacing w:before="156" w:beforeLines="50" w:after="156" w:afterLines="50" w:line="360" w:lineRule="auto"/>
        <w:ind w:firstLine="482" w:firstLineChars="200"/>
        <w:jc w:val="left"/>
        <w:outlineLvl w:val="1"/>
        <w:rPr>
          <w:rFonts w:hint="eastAsia" w:ascii="宋体" w:hAnsi="宋体" w:eastAsia="宋体" w:cs="宋体"/>
          <w:b/>
          <w:bCs/>
          <w:sz w:val="24"/>
          <w:lang w:val="en" w:eastAsia="zh-CN"/>
        </w:rPr>
      </w:pPr>
      <w:bookmarkStart w:id="32" w:name="_Toc26800"/>
      <w:bookmarkStart w:id="33" w:name="_Toc11220"/>
      <w:bookmarkStart w:id="34" w:name="_Toc12808"/>
      <w:r>
        <w:rPr>
          <w:rFonts w:hint="eastAsia" w:ascii="宋体" w:hAnsi="宋体" w:eastAsia="宋体" w:cs="宋体"/>
          <w:b/>
          <w:bCs/>
          <w:sz w:val="24"/>
          <w:lang w:val="en" w:eastAsia="zh-CN"/>
        </w:rPr>
        <w:t>（三）绩效评价工作过程</w:t>
      </w:r>
      <w:bookmarkEnd w:id="32"/>
      <w:bookmarkEnd w:id="33"/>
      <w:bookmarkEnd w:id="34"/>
    </w:p>
    <w:p w14:paraId="51F8F124">
      <w:pPr>
        <w:pStyle w:val="4"/>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 xml:space="preserve">本次绩效评价工作主要分为前期准备、评价实施和形成报告三个阶段。具体情况如下： </w:t>
      </w:r>
    </w:p>
    <w:p w14:paraId="09C4CCF9">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1.前期准备阶段</w:t>
      </w:r>
    </w:p>
    <w:p w14:paraId="6E0A5ABE">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（1）成立工作组。在明确委托方要求后，组建工作组，明确工作组内的任务分工。</w:t>
      </w:r>
    </w:p>
    <w:p w14:paraId="1CABB7D3">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 xml:space="preserve">（2）编制工作方案。编制绩效评价工作方案，对评价对象、评价内容、评价方式方法、评价体系和标准、工作程序和时间安排、人员安排及相关附件等作出具体规定。工作方案将报委托方审阅征求意见，并进行调整完善。 </w:t>
      </w:r>
    </w:p>
    <w:p w14:paraId="6A0579D4">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2.评价实施阶段</w:t>
      </w:r>
    </w:p>
    <w:p w14:paraId="20696DB0">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（1）前期准备通知</w:t>
      </w:r>
    </w:p>
    <w:p w14:paraId="145B7F03">
      <w:pPr>
        <w:pStyle w:val="4"/>
        <w:keepNext w:val="0"/>
        <w:keepLines w:val="0"/>
        <w:pageBreakBefore w:val="0"/>
        <w:numPr>
          <w:ilvl w:val="0"/>
          <w:numId w:val="0"/>
        </w:numPr>
        <w:kinsoku/>
        <w:wordWrap/>
        <w:overflowPunct/>
        <w:topLinePunct w:val="0"/>
        <w:autoSpaceDE/>
        <w:autoSpaceDN/>
        <w:bidi w:val="0"/>
        <w:adjustRightInd/>
        <w:snapToGrid/>
        <w:spacing w:before="165" w:beforeLines="50" w:beforeAutospacing="0" w:after="165" w:afterLines="50" w:afterAutospacing="0" w:line="360" w:lineRule="auto"/>
        <w:ind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工作组通过委托方获取项目单位联系方式，与项目单位提前沟通，下发资料清单，由项目单位进行前期资料准备。</w:t>
      </w:r>
    </w:p>
    <w:p w14:paraId="4F8A6F07">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（2）收集部门资料</w:t>
      </w:r>
    </w:p>
    <w:p w14:paraId="34B0DEBF">
      <w:pPr>
        <w:pStyle w:val="4"/>
        <w:keepNext w:val="0"/>
        <w:keepLines w:val="0"/>
        <w:pageBreakBefore w:val="0"/>
        <w:numPr>
          <w:ilvl w:val="0"/>
          <w:numId w:val="0"/>
        </w:numPr>
        <w:kinsoku/>
        <w:wordWrap/>
        <w:overflowPunct/>
        <w:topLinePunct w:val="0"/>
        <w:autoSpaceDE/>
        <w:autoSpaceDN/>
        <w:bidi w:val="0"/>
        <w:adjustRightInd/>
        <w:snapToGrid/>
        <w:spacing w:before="165" w:beforeLines="50" w:beforeAutospacing="0" w:after="165" w:afterLines="50" w:afterAutospacing="0" w:line="360" w:lineRule="auto"/>
        <w:ind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为满足评价工作需要，通过邮件、电话、建立微信工作群等方式，根据需要准备资料清单，跟踪辅导被评价项目单位准备评价所需相关资料，对遇到的疑惑，及时予以解答，为被评价项目单位能够提供出满足评价需要的资料提供辅导支持。</w:t>
      </w:r>
    </w:p>
    <w:p w14:paraId="094B121C">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（3）资料收集及审核反馈</w:t>
      </w:r>
    </w:p>
    <w:p w14:paraId="4571DEE4">
      <w:pPr>
        <w:pStyle w:val="4"/>
        <w:keepNext w:val="0"/>
        <w:keepLines w:val="0"/>
        <w:pageBreakBefore w:val="0"/>
        <w:numPr>
          <w:ilvl w:val="0"/>
          <w:numId w:val="0"/>
        </w:numPr>
        <w:kinsoku/>
        <w:wordWrap/>
        <w:overflowPunct/>
        <w:topLinePunct w:val="0"/>
        <w:autoSpaceDE/>
        <w:autoSpaceDN/>
        <w:bidi w:val="0"/>
        <w:adjustRightInd/>
        <w:snapToGrid/>
        <w:spacing w:before="165" w:beforeLines="50" w:beforeAutospacing="0" w:after="165" w:afterLines="50" w:afterAutospacing="0" w:line="360" w:lineRule="auto"/>
        <w:ind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工作组将依据资料收集清单对资料进行形式审核，对于不符合要求、存在重大缺项漏项的资料予以退回，并反馈原因，辅导被评价项目单位补充完善。</w:t>
      </w:r>
    </w:p>
    <w:p w14:paraId="71980335">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（4）非现场评价</w:t>
      </w:r>
    </w:p>
    <w:p w14:paraId="408AFBAB">
      <w:pPr>
        <w:pStyle w:val="4"/>
        <w:keepNext w:val="0"/>
        <w:keepLines w:val="0"/>
        <w:pageBreakBefore w:val="0"/>
        <w:numPr>
          <w:ilvl w:val="0"/>
          <w:numId w:val="0"/>
        </w:numPr>
        <w:kinsoku/>
        <w:wordWrap/>
        <w:overflowPunct/>
        <w:topLinePunct w:val="0"/>
        <w:autoSpaceDE/>
        <w:autoSpaceDN/>
        <w:bidi w:val="0"/>
        <w:adjustRightInd/>
        <w:snapToGrid/>
        <w:spacing w:before="165" w:beforeLines="50" w:beforeAutospacing="0" w:after="165" w:afterLines="50" w:afterAutospacing="0" w:line="360" w:lineRule="auto"/>
        <w:ind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主要对被评价项目提交的评价相关资料进行审核，统计和评分，在审核过程中对于存有疑义的问题，我们会与相关单位充分沟通，对于对评价结果有重大影响的存疑事项，也将进行现场检查或勘察。</w:t>
      </w:r>
    </w:p>
    <w:p w14:paraId="1B822F1C">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（5）综合评价分析</w:t>
      </w:r>
    </w:p>
    <w:p w14:paraId="79F80617">
      <w:pPr>
        <w:pStyle w:val="4"/>
        <w:keepNext w:val="0"/>
        <w:keepLines w:val="0"/>
        <w:pageBreakBefore w:val="0"/>
        <w:numPr>
          <w:ilvl w:val="0"/>
          <w:numId w:val="0"/>
        </w:numPr>
        <w:kinsoku/>
        <w:wordWrap/>
        <w:overflowPunct/>
        <w:topLinePunct w:val="0"/>
        <w:autoSpaceDE/>
        <w:autoSpaceDN/>
        <w:bidi w:val="0"/>
        <w:adjustRightInd/>
        <w:snapToGrid/>
        <w:spacing w:before="165" w:beforeLines="50" w:beforeAutospacing="0" w:after="165" w:afterLines="50" w:afterAutospacing="0" w:line="360" w:lineRule="auto"/>
        <w:ind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根据所收集的基础资料，结合现场核实的有关情况，整理出绩效评价所需的基本资料和数据。按照评价实施方案确定的评价指标、评价标准和评价方法，根据评价基础数据，对评价项目的总体绩效情况进行全面的综合评价，形成评价结论。</w:t>
      </w:r>
    </w:p>
    <w:p w14:paraId="2E87497C">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 xml:space="preserve">3.报告撰写阶段 </w:t>
      </w:r>
    </w:p>
    <w:p w14:paraId="4195A448">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在前期工作开展的基础上，工作组对项目情况进行汇总和分析，撰写绩效评价报告，经公司内部审核后，递交委托方征求意见并根据反馈意见修改完成形成报告终稿。</w:t>
      </w:r>
    </w:p>
    <w:bookmarkEnd w:id="23"/>
    <w:bookmarkEnd w:id="24"/>
    <w:p w14:paraId="02F60C73">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0"/>
        <w:rPr>
          <w:rFonts w:hint="eastAsia" w:ascii="宋体" w:hAnsi="宋体" w:eastAsia="宋体" w:cs="宋体"/>
          <w:b/>
          <w:bCs/>
          <w:kern w:val="2"/>
          <w:sz w:val="24"/>
          <w:szCs w:val="24"/>
          <w:lang w:val="en-US" w:eastAsia="zh" w:bidi="ar"/>
        </w:rPr>
      </w:pPr>
      <w:bookmarkStart w:id="35" w:name="_Toc21696"/>
      <w:bookmarkStart w:id="36" w:name="_Toc13369"/>
      <w:bookmarkStart w:id="37" w:name="_Toc12812"/>
      <w:r>
        <w:rPr>
          <w:rFonts w:hint="eastAsia" w:ascii="宋体" w:hAnsi="宋体" w:eastAsia="宋体" w:cs="宋体"/>
          <w:b/>
          <w:bCs/>
          <w:kern w:val="2"/>
          <w:sz w:val="24"/>
          <w:szCs w:val="24"/>
          <w:lang w:val="en-US" w:eastAsia="zh" w:bidi="ar"/>
        </w:rPr>
        <w:t>三、综合评价情况及评价结论</w:t>
      </w:r>
      <w:bookmarkEnd w:id="35"/>
      <w:bookmarkEnd w:id="36"/>
      <w:bookmarkEnd w:id="37"/>
    </w:p>
    <w:p w14:paraId="1087E93C">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center"/>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表3-1 2023年部门整体支出指标评分表</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11"/>
        <w:gridCol w:w="2211"/>
        <w:gridCol w:w="2211"/>
        <w:gridCol w:w="2233"/>
      </w:tblGrid>
      <w:tr w14:paraId="4142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exact"/>
          <w:tblHeader/>
          <w:jc w:val="center"/>
        </w:trPr>
        <w:tc>
          <w:tcPr>
            <w:tcW w:w="1247" w:type="pct"/>
            <w:tcBorders>
              <w:top w:val="single" w:color="auto" w:sz="12" w:space="0"/>
              <w:left w:val="nil"/>
              <w:bottom w:val="dotted" w:color="auto" w:sz="4" w:space="0"/>
              <w:right w:val="dotted" w:color="auto" w:sz="4" w:space="0"/>
            </w:tcBorders>
            <w:shd w:val="clear" w:color="auto" w:fill="auto"/>
            <w:tcMar>
              <w:top w:w="10" w:type="dxa"/>
              <w:left w:w="10" w:type="dxa"/>
              <w:right w:w="10" w:type="dxa"/>
            </w:tcMar>
            <w:vAlign w:val="center"/>
          </w:tcPr>
          <w:p w14:paraId="0166168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一级指标</w:t>
            </w:r>
          </w:p>
        </w:tc>
        <w:tc>
          <w:tcPr>
            <w:tcW w:w="1247" w:type="pct"/>
            <w:tcBorders>
              <w:top w:val="single" w:color="auto" w:sz="12" w:space="0"/>
              <w:left w:val="dotted" w:color="auto" w:sz="4" w:space="0"/>
              <w:bottom w:val="dotted" w:color="auto" w:sz="4" w:space="0"/>
              <w:right w:val="dotted" w:color="auto" w:sz="4" w:space="0"/>
            </w:tcBorders>
            <w:shd w:val="clear" w:color="auto" w:fill="auto"/>
            <w:tcMar>
              <w:top w:w="10" w:type="dxa"/>
              <w:left w:w="10" w:type="dxa"/>
              <w:right w:w="10" w:type="dxa"/>
            </w:tcMar>
            <w:vAlign w:val="center"/>
          </w:tcPr>
          <w:p w14:paraId="099F733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4"/>
                <w:szCs w:val="24"/>
                <w:u w:val="none"/>
              </w:rPr>
            </w:pPr>
            <w:r>
              <w:rPr>
                <w:rFonts w:hint="eastAsia" w:ascii="宋体" w:hAnsi="宋体" w:eastAsia="宋体" w:cs="宋体"/>
                <w:b/>
                <w:bCs/>
                <w:sz w:val="24"/>
                <w:szCs w:val="24"/>
                <w:u w:val="none"/>
                <w:lang w:val="en-US" w:eastAsia="zh-CN"/>
              </w:rPr>
              <w:t>分值</w:t>
            </w:r>
          </w:p>
        </w:tc>
        <w:tc>
          <w:tcPr>
            <w:tcW w:w="1247" w:type="pct"/>
            <w:tcBorders>
              <w:top w:val="single" w:color="auto" w:sz="12" w:space="0"/>
              <w:left w:val="dotted" w:color="auto" w:sz="4" w:space="0"/>
              <w:bottom w:val="dotted" w:color="auto" w:sz="4" w:space="0"/>
              <w:right w:val="dotted" w:color="auto" w:sz="4" w:space="0"/>
            </w:tcBorders>
            <w:shd w:val="clear" w:color="auto" w:fill="auto"/>
            <w:tcMar>
              <w:top w:w="10" w:type="dxa"/>
              <w:left w:w="10" w:type="dxa"/>
              <w:right w:w="10" w:type="dxa"/>
            </w:tcMar>
            <w:vAlign w:val="center"/>
          </w:tcPr>
          <w:p w14:paraId="1156488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得分</w:t>
            </w:r>
          </w:p>
        </w:tc>
        <w:tc>
          <w:tcPr>
            <w:tcW w:w="1256" w:type="pct"/>
            <w:tcBorders>
              <w:top w:val="single" w:color="auto" w:sz="12" w:space="0"/>
              <w:left w:val="dotted" w:color="auto" w:sz="4" w:space="0"/>
              <w:bottom w:val="dotted" w:color="auto" w:sz="4" w:space="0"/>
              <w:right w:val="nil"/>
            </w:tcBorders>
            <w:shd w:val="clear" w:color="auto" w:fill="auto"/>
            <w:tcMar>
              <w:top w:w="10" w:type="dxa"/>
              <w:left w:w="10" w:type="dxa"/>
              <w:right w:w="10" w:type="dxa"/>
            </w:tcMar>
            <w:vAlign w:val="center"/>
          </w:tcPr>
          <w:p w14:paraId="74349713">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4"/>
                <w:szCs w:val="24"/>
                <w:u w:val="none"/>
                <w:lang w:val="en-US" w:eastAsia="zh-CN"/>
              </w:rPr>
            </w:pPr>
            <w:r>
              <w:rPr>
                <w:rFonts w:hint="eastAsia" w:ascii="宋体" w:hAnsi="宋体" w:eastAsia="宋体" w:cs="宋体"/>
                <w:b/>
                <w:bCs/>
                <w:sz w:val="24"/>
                <w:szCs w:val="24"/>
                <w:u w:val="none"/>
                <w:lang w:val="en-US" w:eastAsia="zh-CN"/>
              </w:rPr>
              <w:t>得分率</w:t>
            </w:r>
          </w:p>
        </w:tc>
      </w:tr>
      <w:tr w14:paraId="3DD5E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exact"/>
          <w:jc w:val="center"/>
        </w:trPr>
        <w:tc>
          <w:tcPr>
            <w:tcW w:w="1247" w:type="pct"/>
            <w:tcBorders>
              <w:top w:val="dotted" w:color="auto" w:sz="4" w:space="0"/>
              <w:left w:val="nil"/>
              <w:bottom w:val="dotted" w:color="auto" w:sz="4" w:space="0"/>
              <w:right w:val="dotted" w:color="auto" w:sz="4" w:space="0"/>
            </w:tcBorders>
            <w:shd w:val="clear" w:color="auto" w:fill="auto"/>
            <w:tcMar>
              <w:top w:w="10" w:type="dxa"/>
              <w:left w:w="10" w:type="dxa"/>
              <w:right w:w="10" w:type="dxa"/>
            </w:tcMar>
            <w:vAlign w:val="center"/>
          </w:tcPr>
          <w:p w14:paraId="61867C4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eastAsia="zh-CN"/>
              </w:rPr>
            </w:pPr>
            <w:r>
              <w:rPr>
                <w:rFonts w:hint="eastAsia" w:ascii="宋体" w:hAnsi="宋体" w:eastAsia="宋体" w:cs="宋体"/>
                <w:b w:val="0"/>
                <w:bCs w:val="0"/>
                <w:sz w:val="24"/>
                <w:szCs w:val="24"/>
                <w:u w:val="none"/>
                <w:lang w:val="en-US" w:eastAsia="zh-CN"/>
              </w:rPr>
              <w:t>投入</w:t>
            </w:r>
          </w:p>
        </w:tc>
        <w:tc>
          <w:tcPr>
            <w:tcW w:w="1247" w:type="pct"/>
            <w:tcBorders>
              <w:top w:val="dotted" w:color="auto" w:sz="4" w:space="0"/>
              <w:left w:val="dotted" w:color="auto" w:sz="4" w:space="0"/>
              <w:bottom w:val="dotted" w:color="auto" w:sz="4" w:space="0"/>
              <w:right w:val="dotted" w:color="auto" w:sz="4" w:space="0"/>
            </w:tcBorders>
            <w:shd w:val="clear" w:color="auto" w:fill="auto"/>
            <w:tcMar>
              <w:top w:w="10" w:type="dxa"/>
              <w:left w:w="10" w:type="dxa"/>
              <w:right w:w="10" w:type="dxa"/>
            </w:tcMar>
            <w:vAlign w:val="center"/>
          </w:tcPr>
          <w:p w14:paraId="54E01FC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15</w:t>
            </w:r>
          </w:p>
        </w:tc>
        <w:tc>
          <w:tcPr>
            <w:tcW w:w="1247" w:type="pct"/>
            <w:tcBorders>
              <w:top w:val="dotted" w:color="auto" w:sz="4" w:space="0"/>
              <w:left w:val="dotted" w:color="auto" w:sz="4" w:space="0"/>
              <w:bottom w:val="dotted" w:color="auto" w:sz="4" w:space="0"/>
              <w:right w:val="dotted" w:color="auto" w:sz="4" w:space="0"/>
            </w:tcBorders>
            <w:shd w:val="clear" w:color="auto" w:fill="auto"/>
            <w:tcMar>
              <w:top w:w="10" w:type="dxa"/>
              <w:left w:w="10" w:type="dxa"/>
              <w:right w:w="10" w:type="dxa"/>
            </w:tcMar>
            <w:vAlign w:val="center"/>
          </w:tcPr>
          <w:p w14:paraId="563F7E7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
              </w:rPr>
            </w:pPr>
            <w:r>
              <w:rPr>
                <w:rFonts w:hint="eastAsia" w:ascii="宋体" w:hAnsi="宋体" w:eastAsia="宋体" w:cs="宋体"/>
                <w:sz w:val="24"/>
                <w:szCs w:val="24"/>
                <w:u w:val="none"/>
                <w:lang w:val="en-US" w:eastAsia="zh"/>
              </w:rPr>
              <w:t>8</w:t>
            </w:r>
          </w:p>
        </w:tc>
        <w:tc>
          <w:tcPr>
            <w:tcW w:w="1256" w:type="pct"/>
            <w:tcBorders>
              <w:top w:val="dotted" w:color="auto" w:sz="4" w:space="0"/>
              <w:left w:val="dotted" w:color="auto" w:sz="4" w:space="0"/>
              <w:bottom w:val="dotted" w:color="auto" w:sz="4" w:space="0"/>
              <w:right w:val="nil"/>
            </w:tcBorders>
            <w:shd w:val="clear" w:color="auto" w:fill="auto"/>
            <w:tcMar>
              <w:top w:w="10" w:type="dxa"/>
              <w:left w:w="10" w:type="dxa"/>
              <w:right w:w="10" w:type="dxa"/>
            </w:tcMar>
            <w:vAlign w:val="center"/>
          </w:tcPr>
          <w:p w14:paraId="6B1B864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
              </w:rPr>
            </w:pPr>
            <w:r>
              <w:rPr>
                <w:rFonts w:hint="eastAsia" w:ascii="宋体" w:hAnsi="宋体" w:eastAsia="宋体" w:cs="宋体"/>
                <w:sz w:val="24"/>
                <w:szCs w:val="24"/>
                <w:u w:val="none"/>
                <w:lang w:val="en-US" w:eastAsia="zh"/>
              </w:rPr>
              <w:t>53.33%</w:t>
            </w:r>
          </w:p>
        </w:tc>
      </w:tr>
      <w:tr w14:paraId="2B5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exact"/>
          <w:jc w:val="center"/>
        </w:trPr>
        <w:tc>
          <w:tcPr>
            <w:tcW w:w="1247" w:type="pct"/>
            <w:tcBorders>
              <w:top w:val="dotted" w:color="auto" w:sz="4" w:space="0"/>
              <w:left w:val="nil"/>
              <w:bottom w:val="dotted" w:color="auto" w:sz="4" w:space="0"/>
              <w:right w:val="dotted" w:color="auto" w:sz="4" w:space="0"/>
            </w:tcBorders>
            <w:shd w:val="clear" w:color="auto" w:fill="auto"/>
            <w:tcMar>
              <w:top w:w="10" w:type="dxa"/>
              <w:left w:w="10" w:type="dxa"/>
              <w:right w:w="10" w:type="dxa"/>
            </w:tcMar>
            <w:vAlign w:val="center"/>
          </w:tcPr>
          <w:p w14:paraId="2ED11DA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过程</w:t>
            </w:r>
          </w:p>
        </w:tc>
        <w:tc>
          <w:tcPr>
            <w:tcW w:w="1247" w:type="pct"/>
            <w:tcBorders>
              <w:top w:val="dotted" w:color="auto" w:sz="4" w:space="0"/>
              <w:left w:val="dotted" w:color="auto" w:sz="4" w:space="0"/>
              <w:bottom w:val="dotted" w:color="auto" w:sz="4" w:space="0"/>
              <w:right w:val="dotted" w:color="auto" w:sz="4" w:space="0"/>
            </w:tcBorders>
            <w:shd w:val="clear" w:color="auto" w:fill="auto"/>
            <w:tcMar>
              <w:top w:w="10" w:type="dxa"/>
              <w:left w:w="10" w:type="dxa"/>
              <w:right w:w="10" w:type="dxa"/>
            </w:tcMar>
            <w:vAlign w:val="center"/>
          </w:tcPr>
          <w:p w14:paraId="607ECFF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
              </w:rPr>
            </w:pPr>
            <w:r>
              <w:rPr>
                <w:rFonts w:hint="eastAsia" w:ascii="宋体" w:hAnsi="宋体" w:eastAsia="宋体" w:cs="宋体"/>
                <w:sz w:val="24"/>
                <w:szCs w:val="24"/>
                <w:u w:val="none"/>
                <w:lang w:val="en-US" w:eastAsia="zh-CN"/>
              </w:rPr>
              <w:t>4</w:t>
            </w:r>
            <w:r>
              <w:rPr>
                <w:rFonts w:hint="eastAsia" w:ascii="宋体" w:hAnsi="宋体" w:eastAsia="宋体" w:cs="宋体"/>
                <w:sz w:val="24"/>
                <w:szCs w:val="24"/>
                <w:u w:val="none"/>
                <w:lang w:val="en-US" w:eastAsia="zh"/>
              </w:rPr>
              <w:t>9</w:t>
            </w:r>
          </w:p>
        </w:tc>
        <w:tc>
          <w:tcPr>
            <w:tcW w:w="1247" w:type="pct"/>
            <w:tcBorders>
              <w:top w:val="dotted" w:color="auto" w:sz="4" w:space="0"/>
              <w:left w:val="dotted" w:color="auto" w:sz="4" w:space="0"/>
              <w:bottom w:val="dotted" w:color="auto" w:sz="4" w:space="0"/>
              <w:right w:val="dotted" w:color="auto" w:sz="4" w:space="0"/>
            </w:tcBorders>
            <w:shd w:val="clear" w:color="auto" w:fill="auto"/>
            <w:tcMar>
              <w:top w:w="10" w:type="dxa"/>
              <w:left w:w="10" w:type="dxa"/>
              <w:right w:w="10" w:type="dxa"/>
            </w:tcMar>
            <w:vAlign w:val="center"/>
          </w:tcPr>
          <w:p w14:paraId="11C0EC1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33</w:t>
            </w:r>
          </w:p>
        </w:tc>
        <w:tc>
          <w:tcPr>
            <w:tcW w:w="1256" w:type="pct"/>
            <w:tcBorders>
              <w:top w:val="dotted" w:color="auto" w:sz="4" w:space="0"/>
              <w:left w:val="dotted" w:color="auto" w:sz="4" w:space="0"/>
              <w:bottom w:val="dotted" w:color="auto" w:sz="4" w:space="0"/>
              <w:right w:val="nil"/>
            </w:tcBorders>
            <w:shd w:val="clear" w:color="auto" w:fill="auto"/>
            <w:tcMar>
              <w:top w:w="10" w:type="dxa"/>
              <w:left w:w="10" w:type="dxa"/>
              <w:right w:w="10" w:type="dxa"/>
            </w:tcMar>
            <w:vAlign w:val="center"/>
          </w:tcPr>
          <w:p w14:paraId="76036F7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
              </w:rPr>
            </w:pPr>
            <w:r>
              <w:rPr>
                <w:rFonts w:hint="eastAsia" w:ascii="宋体" w:hAnsi="宋体" w:eastAsia="宋体" w:cs="宋体"/>
                <w:sz w:val="24"/>
                <w:szCs w:val="24"/>
                <w:u w:val="none"/>
                <w:lang w:val="en-US" w:eastAsia="zh-CN"/>
              </w:rPr>
              <w:t>67.35</w:t>
            </w:r>
            <w:r>
              <w:rPr>
                <w:rFonts w:hint="eastAsia" w:ascii="宋体" w:hAnsi="宋体" w:eastAsia="宋体" w:cs="宋体"/>
                <w:sz w:val="24"/>
                <w:szCs w:val="24"/>
                <w:u w:val="none"/>
                <w:lang w:val="en-US" w:eastAsia="zh"/>
              </w:rPr>
              <w:t>%</w:t>
            </w:r>
          </w:p>
        </w:tc>
      </w:tr>
      <w:tr w14:paraId="3721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exact"/>
          <w:jc w:val="center"/>
        </w:trPr>
        <w:tc>
          <w:tcPr>
            <w:tcW w:w="1247" w:type="pct"/>
            <w:tcBorders>
              <w:top w:val="dotted" w:color="auto" w:sz="4" w:space="0"/>
              <w:left w:val="nil"/>
              <w:bottom w:val="dotted" w:color="auto" w:sz="4" w:space="0"/>
              <w:right w:val="dotted" w:color="auto" w:sz="4" w:space="0"/>
            </w:tcBorders>
            <w:shd w:val="clear" w:color="auto" w:fill="auto"/>
            <w:tcMar>
              <w:top w:w="10" w:type="dxa"/>
              <w:left w:w="10" w:type="dxa"/>
              <w:right w:w="10" w:type="dxa"/>
            </w:tcMar>
            <w:vAlign w:val="center"/>
          </w:tcPr>
          <w:p w14:paraId="25F407A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产出</w:t>
            </w:r>
          </w:p>
        </w:tc>
        <w:tc>
          <w:tcPr>
            <w:tcW w:w="1247" w:type="pct"/>
            <w:tcBorders>
              <w:top w:val="dotted" w:color="auto" w:sz="4" w:space="0"/>
              <w:left w:val="dotted" w:color="auto" w:sz="4" w:space="0"/>
              <w:bottom w:val="dotted" w:color="auto" w:sz="4" w:space="0"/>
              <w:right w:val="dotted" w:color="auto" w:sz="4" w:space="0"/>
            </w:tcBorders>
            <w:shd w:val="clear" w:color="auto" w:fill="auto"/>
            <w:tcMar>
              <w:top w:w="10" w:type="dxa"/>
              <w:left w:w="10" w:type="dxa"/>
              <w:right w:w="10" w:type="dxa"/>
            </w:tcMar>
            <w:vAlign w:val="center"/>
          </w:tcPr>
          <w:p w14:paraId="28A9A6A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
              </w:rPr>
            </w:pPr>
            <w:r>
              <w:rPr>
                <w:rFonts w:hint="eastAsia" w:ascii="宋体" w:hAnsi="宋体" w:eastAsia="宋体" w:cs="宋体"/>
                <w:sz w:val="24"/>
                <w:szCs w:val="24"/>
                <w:u w:val="none"/>
                <w:lang w:val="en-US" w:eastAsia="zh"/>
              </w:rPr>
              <w:t>16</w:t>
            </w:r>
          </w:p>
        </w:tc>
        <w:tc>
          <w:tcPr>
            <w:tcW w:w="1247" w:type="pct"/>
            <w:tcBorders>
              <w:top w:val="dotted" w:color="auto" w:sz="4" w:space="0"/>
              <w:left w:val="dotted" w:color="auto" w:sz="4" w:space="0"/>
              <w:bottom w:val="dotted" w:color="auto" w:sz="4" w:space="0"/>
              <w:right w:val="dotted" w:color="auto" w:sz="4" w:space="0"/>
            </w:tcBorders>
            <w:shd w:val="clear" w:color="auto" w:fill="auto"/>
            <w:tcMar>
              <w:top w:w="10" w:type="dxa"/>
              <w:left w:w="10" w:type="dxa"/>
              <w:right w:w="10" w:type="dxa"/>
            </w:tcMar>
            <w:vAlign w:val="center"/>
          </w:tcPr>
          <w:p w14:paraId="7EC4E10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rPr>
            </w:pPr>
            <w:r>
              <w:rPr>
                <w:rFonts w:hint="eastAsia" w:ascii="宋体" w:hAnsi="宋体" w:eastAsia="宋体" w:cs="宋体"/>
                <w:b w:val="0"/>
                <w:bCs w:val="0"/>
                <w:sz w:val="24"/>
                <w:szCs w:val="24"/>
                <w:lang w:val="en-US" w:eastAsia="zh"/>
              </w:rPr>
              <w:t>14.82</w:t>
            </w:r>
          </w:p>
        </w:tc>
        <w:tc>
          <w:tcPr>
            <w:tcW w:w="1256" w:type="pct"/>
            <w:tcBorders>
              <w:top w:val="dotted" w:color="auto" w:sz="4" w:space="0"/>
              <w:left w:val="dotted" w:color="auto" w:sz="4" w:space="0"/>
              <w:bottom w:val="dotted" w:color="auto" w:sz="4" w:space="0"/>
              <w:right w:val="nil"/>
            </w:tcBorders>
            <w:shd w:val="clear" w:color="auto" w:fill="auto"/>
            <w:tcMar>
              <w:top w:w="10" w:type="dxa"/>
              <w:left w:w="10" w:type="dxa"/>
              <w:right w:w="10" w:type="dxa"/>
            </w:tcMar>
            <w:vAlign w:val="center"/>
          </w:tcPr>
          <w:p w14:paraId="5F6A251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
              </w:rPr>
            </w:pPr>
            <w:r>
              <w:rPr>
                <w:rFonts w:hint="eastAsia" w:ascii="宋体" w:hAnsi="宋体" w:eastAsia="宋体" w:cs="宋体"/>
                <w:sz w:val="24"/>
                <w:szCs w:val="24"/>
                <w:u w:val="none"/>
                <w:lang w:val="en-US" w:eastAsia="zh"/>
              </w:rPr>
              <w:t>92.63%</w:t>
            </w:r>
          </w:p>
        </w:tc>
      </w:tr>
      <w:tr w14:paraId="7467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exact"/>
          <w:jc w:val="center"/>
        </w:trPr>
        <w:tc>
          <w:tcPr>
            <w:tcW w:w="1247" w:type="pct"/>
            <w:tcBorders>
              <w:top w:val="dotted" w:color="auto" w:sz="4" w:space="0"/>
              <w:left w:val="nil"/>
              <w:bottom w:val="dotted" w:color="auto" w:sz="4" w:space="0"/>
              <w:right w:val="dotted" w:color="auto" w:sz="4" w:space="0"/>
            </w:tcBorders>
            <w:shd w:val="clear" w:color="auto" w:fill="auto"/>
            <w:tcMar>
              <w:top w:w="10" w:type="dxa"/>
              <w:left w:w="10" w:type="dxa"/>
              <w:right w:w="10" w:type="dxa"/>
            </w:tcMar>
            <w:vAlign w:val="center"/>
          </w:tcPr>
          <w:p w14:paraId="23B05A0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效果</w:t>
            </w:r>
          </w:p>
        </w:tc>
        <w:tc>
          <w:tcPr>
            <w:tcW w:w="1247" w:type="pct"/>
            <w:tcBorders>
              <w:top w:val="dotted" w:color="auto" w:sz="4" w:space="0"/>
              <w:left w:val="dotted" w:color="auto" w:sz="4" w:space="0"/>
              <w:bottom w:val="dotted" w:color="auto" w:sz="4" w:space="0"/>
              <w:right w:val="dotted" w:color="auto" w:sz="4" w:space="0"/>
            </w:tcBorders>
            <w:shd w:val="clear" w:color="auto" w:fill="auto"/>
            <w:tcMar>
              <w:top w:w="10" w:type="dxa"/>
              <w:left w:w="10" w:type="dxa"/>
              <w:right w:w="10" w:type="dxa"/>
            </w:tcMar>
            <w:vAlign w:val="center"/>
          </w:tcPr>
          <w:p w14:paraId="4C798D3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
              </w:rPr>
            </w:pPr>
            <w:r>
              <w:rPr>
                <w:rFonts w:hint="eastAsia" w:ascii="宋体" w:hAnsi="宋体" w:eastAsia="宋体" w:cs="宋体"/>
                <w:sz w:val="24"/>
                <w:szCs w:val="24"/>
                <w:u w:val="none"/>
                <w:lang w:val="en-US" w:eastAsia="zh"/>
              </w:rPr>
              <w:t>20</w:t>
            </w:r>
          </w:p>
        </w:tc>
        <w:tc>
          <w:tcPr>
            <w:tcW w:w="1247" w:type="pct"/>
            <w:tcBorders>
              <w:top w:val="dotted" w:color="auto" w:sz="4" w:space="0"/>
              <w:left w:val="dotted" w:color="auto" w:sz="4" w:space="0"/>
              <w:bottom w:val="dotted" w:color="auto" w:sz="4" w:space="0"/>
              <w:right w:val="dotted" w:color="auto" w:sz="4" w:space="0"/>
            </w:tcBorders>
            <w:shd w:val="clear" w:color="auto" w:fill="auto"/>
            <w:tcMar>
              <w:top w:w="10" w:type="dxa"/>
              <w:left w:w="10" w:type="dxa"/>
              <w:right w:w="10" w:type="dxa"/>
            </w:tcMar>
            <w:vAlign w:val="center"/>
          </w:tcPr>
          <w:p w14:paraId="7E335B09">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
              </w:rPr>
            </w:pPr>
            <w:r>
              <w:rPr>
                <w:rFonts w:hint="eastAsia" w:ascii="宋体" w:hAnsi="宋体" w:eastAsia="宋体" w:cs="宋体"/>
                <w:sz w:val="24"/>
                <w:szCs w:val="24"/>
                <w:u w:val="none"/>
                <w:lang w:val="en-US" w:eastAsia="zh"/>
              </w:rPr>
              <w:t>20</w:t>
            </w:r>
          </w:p>
        </w:tc>
        <w:tc>
          <w:tcPr>
            <w:tcW w:w="1256" w:type="pct"/>
            <w:tcBorders>
              <w:top w:val="dotted" w:color="auto" w:sz="4" w:space="0"/>
              <w:left w:val="dotted" w:color="auto" w:sz="4" w:space="0"/>
              <w:bottom w:val="dotted" w:color="auto" w:sz="4" w:space="0"/>
              <w:right w:val="nil"/>
            </w:tcBorders>
            <w:shd w:val="clear" w:color="auto" w:fill="auto"/>
            <w:tcMar>
              <w:top w:w="10" w:type="dxa"/>
              <w:left w:w="10" w:type="dxa"/>
              <w:right w:w="10" w:type="dxa"/>
            </w:tcMar>
            <w:vAlign w:val="center"/>
          </w:tcPr>
          <w:p w14:paraId="1DA67C8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4"/>
                <w:szCs w:val="24"/>
                <w:u w:val="none"/>
                <w:lang w:val="en-US" w:eastAsia="zh"/>
              </w:rPr>
            </w:pPr>
            <w:r>
              <w:rPr>
                <w:rFonts w:hint="eastAsia" w:ascii="宋体" w:hAnsi="宋体" w:eastAsia="宋体" w:cs="宋体"/>
                <w:sz w:val="24"/>
                <w:szCs w:val="24"/>
                <w:u w:val="none"/>
                <w:lang w:val="en-US" w:eastAsia="zh"/>
              </w:rPr>
              <w:t>100%</w:t>
            </w:r>
          </w:p>
        </w:tc>
      </w:tr>
      <w:tr w14:paraId="4C6B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6" w:hRule="exact"/>
          <w:jc w:val="center"/>
        </w:trPr>
        <w:tc>
          <w:tcPr>
            <w:tcW w:w="5000" w:type="pct"/>
            <w:gridSpan w:val="4"/>
            <w:tcBorders>
              <w:top w:val="dotted" w:color="auto" w:sz="4" w:space="0"/>
              <w:left w:val="nil"/>
              <w:bottom w:val="single" w:color="auto" w:sz="12" w:space="0"/>
              <w:right w:val="nil"/>
            </w:tcBorders>
            <w:shd w:val="clear" w:color="auto" w:fill="auto"/>
            <w:tcMar>
              <w:top w:w="10" w:type="dxa"/>
              <w:left w:w="10" w:type="dxa"/>
              <w:right w:w="10" w:type="dxa"/>
            </w:tcMar>
            <w:vAlign w:val="center"/>
          </w:tcPr>
          <w:p w14:paraId="46DD3B8D">
            <w:pPr>
              <w:keepNext w:val="0"/>
              <w:keepLines w:val="0"/>
              <w:pageBreakBefore w:val="0"/>
              <w:widowControl w:val="0"/>
              <w:kinsoku/>
              <w:wordWrap/>
              <w:overflowPunct/>
              <w:topLinePunct w:val="0"/>
              <w:autoSpaceDE/>
              <w:autoSpaceDN/>
              <w:bidi w:val="0"/>
              <w:adjustRightInd/>
              <w:snapToGrid/>
              <w:spacing w:line="240" w:lineRule="auto"/>
              <w:ind w:firstLine="723" w:firstLineChars="300"/>
              <w:jc w:val="left"/>
              <w:textAlignment w:val="auto"/>
              <w:rPr>
                <w:rFonts w:hint="eastAsia" w:ascii="宋体" w:hAnsi="宋体" w:eastAsia="宋体" w:cs="宋体"/>
                <w:sz w:val="24"/>
                <w:szCs w:val="24"/>
                <w:u w:val="none"/>
                <w:lang w:val="en-US" w:eastAsia="zh"/>
              </w:rPr>
            </w:pPr>
            <w:r>
              <w:rPr>
                <w:rFonts w:hint="eastAsia" w:ascii="宋体" w:hAnsi="宋体" w:eastAsia="宋体" w:cs="宋体"/>
                <w:b/>
                <w:bCs/>
                <w:sz w:val="24"/>
                <w:szCs w:val="24"/>
                <w:u w:val="none"/>
                <w:lang w:val="en-US" w:eastAsia="zh-CN"/>
              </w:rPr>
              <w:t>绩效评价得分：75.82</w:t>
            </w:r>
            <w:r>
              <w:rPr>
                <w:rFonts w:hint="eastAsia" w:ascii="宋体" w:hAnsi="宋体" w:eastAsia="宋体" w:cs="宋体"/>
                <w:b/>
                <w:bCs/>
                <w:sz w:val="24"/>
                <w:szCs w:val="24"/>
                <w:u w:val="none"/>
                <w:lang w:val="en-US" w:eastAsia="zh"/>
              </w:rPr>
              <w:t xml:space="preserve">           </w:t>
            </w:r>
            <w:r>
              <w:rPr>
                <w:rFonts w:hint="eastAsia" w:ascii="宋体" w:hAnsi="宋体" w:eastAsia="宋体" w:cs="宋体"/>
                <w:b/>
                <w:bCs/>
                <w:sz w:val="24"/>
                <w:szCs w:val="24"/>
                <w:u w:val="none"/>
                <w:lang w:val="en-US" w:eastAsia="zh-CN"/>
              </w:rPr>
              <w:t xml:space="preserve">       综合评价结果等级：</w:t>
            </w:r>
            <w:r>
              <w:rPr>
                <w:rFonts w:hint="eastAsia" w:ascii="宋体" w:hAnsi="宋体" w:eastAsia="宋体" w:cs="宋体"/>
                <w:b/>
                <w:bCs/>
                <w:sz w:val="24"/>
                <w:szCs w:val="24"/>
                <w:u w:val="none"/>
                <w:lang w:val="en-US" w:eastAsia="zh"/>
              </w:rPr>
              <w:t>良</w:t>
            </w:r>
          </w:p>
        </w:tc>
      </w:tr>
    </w:tbl>
    <w:p w14:paraId="5E42FED2">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0"/>
        <w:rPr>
          <w:rFonts w:hint="eastAsia" w:ascii="宋体" w:hAnsi="宋体" w:eastAsia="宋体" w:cs="宋体"/>
          <w:b/>
          <w:bCs/>
          <w:kern w:val="2"/>
          <w:sz w:val="24"/>
          <w:szCs w:val="24"/>
          <w:lang w:val="en" w:eastAsia="zh" w:bidi="ar"/>
        </w:rPr>
      </w:pPr>
      <w:bookmarkStart w:id="38" w:name="_Toc15262"/>
      <w:bookmarkStart w:id="39" w:name="_Toc16124"/>
      <w:bookmarkStart w:id="40" w:name="_Toc25122"/>
      <w:r>
        <w:rPr>
          <w:rFonts w:hint="eastAsia" w:ascii="宋体" w:hAnsi="宋体" w:eastAsia="宋体" w:cs="宋体"/>
          <w:b/>
          <w:bCs/>
          <w:kern w:val="2"/>
          <w:sz w:val="24"/>
          <w:szCs w:val="24"/>
          <w:lang w:val="en" w:eastAsia="zh" w:bidi="ar"/>
        </w:rPr>
        <w:t>四、绩效评价指标分析</w:t>
      </w:r>
      <w:bookmarkEnd w:id="38"/>
      <w:bookmarkEnd w:id="39"/>
      <w:bookmarkEnd w:id="40"/>
    </w:p>
    <w:p w14:paraId="0740AF50">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eastAsia" w:ascii="宋体" w:hAnsi="宋体" w:eastAsia="宋体" w:cs="宋体"/>
          <w:b/>
          <w:bCs/>
          <w:kern w:val="2"/>
          <w:sz w:val="24"/>
          <w:szCs w:val="24"/>
          <w:lang w:val="en" w:eastAsia="zh-CN" w:bidi="ar"/>
        </w:rPr>
      </w:pPr>
      <w:bookmarkStart w:id="41" w:name="_Toc10385"/>
      <w:bookmarkStart w:id="42" w:name="_Toc21031"/>
      <w:bookmarkStart w:id="43" w:name="_Toc9450"/>
      <w:r>
        <w:rPr>
          <w:rFonts w:hint="eastAsia" w:ascii="宋体" w:hAnsi="宋体" w:eastAsia="宋体" w:cs="宋体"/>
          <w:b/>
          <w:bCs/>
          <w:kern w:val="2"/>
          <w:sz w:val="24"/>
          <w:szCs w:val="24"/>
          <w:lang w:val="en" w:eastAsia="zh-CN" w:bidi="ar"/>
        </w:rPr>
        <w:t>（一）项目</w:t>
      </w:r>
      <w:r>
        <w:rPr>
          <w:rFonts w:hint="eastAsia" w:ascii="宋体" w:hAnsi="宋体" w:eastAsia="宋体" w:cs="宋体"/>
          <w:b/>
          <w:bCs/>
          <w:kern w:val="2"/>
          <w:sz w:val="24"/>
          <w:szCs w:val="24"/>
          <w:lang w:val="en-US" w:eastAsia="zh-CN" w:bidi="ar"/>
        </w:rPr>
        <w:t>投入</w:t>
      </w:r>
      <w:r>
        <w:rPr>
          <w:rFonts w:hint="eastAsia" w:ascii="宋体" w:hAnsi="宋体" w:eastAsia="宋体" w:cs="宋体"/>
          <w:b/>
          <w:bCs/>
          <w:kern w:val="2"/>
          <w:sz w:val="24"/>
          <w:szCs w:val="24"/>
          <w:lang w:val="en" w:eastAsia="zh-CN" w:bidi="ar"/>
        </w:rPr>
        <w:t>情况</w:t>
      </w:r>
      <w:bookmarkEnd w:id="41"/>
      <w:bookmarkEnd w:id="42"/>
      <w:bookmarkEnd w:id="43"/>
    </w:p>
    <w:p w14:paraId="24EE2C36">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从目标设定、预算配置两个方面进行评价，满分为15分，总得分</w:t>
      </w:r>
      <w:r>
        <w:rPr>
          <w:rFonts w:hint="eastAsia" w:ascii="宋体" w:hAnsi="宋体" w:eastAsia="宋体" w:cs="宋体"/>
          <w:color w:val="000000"/>
          <w:kern w:val="2"/>
          <w:sz w:val="24"/>
          <w:szCs w:val="24"/>
          <w:lang w:val="en-US" w:eastAsia="zh" w:bidi="ar-SA"/>
        </w:rPr>
        <w:t>8</w:t>
      </w:r>
      <w:r>
        <w:rPr>
          <w:rFonts w:hint="eastAsia" w:ascii="宋体" w:hAnsi="宋体" w:eastAsia="宋体" w:cs="宋体"/>
          <w:color w:val="000000"/>
          <w:kern w:val="2"/>
          <w:sz w:val="24"/>
          <w:szCs w:val="24"/>
          <w:lang w:val="en-US" w:eastAsia="zh-CN" w:bidi="ar-SA"/>
        </w:rPr>
        <w:t>分。</w:t>
      </w:r>
    </w:p>
    <w:p w14:paraId="57F61ECD">
      <w:pPr>
        <w:keepNext w:val="0"/>
        <w:keepLines w:val="0"/>
        <w:widowControl w:val="0"/>
        <w:suppressLineNumbers w:val="0"/>
        <w:autoSpaceDE w:val="0"/>
        <w:autoSpaceDN/>
        <w:spacing w:before="165" w:beforeLines="50" w:beforeAutospacing="0" w:after="165" w:afterLines="50" w:afterAutospacing="0" w:line="360" w:lineRule="auto"/>
        <w:ind w:left="0" w:right="0" w:firstLine="0" w:firstLineChars="0"/>
        <w:jc w:val="center"/>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表4-1项目投入情况得分表</w:t>
      </w:r>
    </w:p>
    <w:tbl>
      <w:tblPr>
        <w:tblStyle w:val="10"/>
        <w:tblW w:w="8595" w:type="dxa"/>
        <w:tblInd w:w="96" w:type="dxa"/>
        <w:tblBorders>
          <w:top w:val="single" w:color="auto" w:sz="8" w:space="0"/>
          <w:left w:val="none" w:color="auto" w:sz="0" w:space="0"/>
          <w:bottom w:val="single" w:color="auto" w:sz="8"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246"/>
        <w:gridCol w:w="727"/>
        <w:gridCol w:w="1290"/>
        <w:gridCol w:w="3180"/>
        <w:gridCol w:w="940"/>
        <w:gridCol w:w="1212"/>
      </w:tblGrid>
      <w:tr w14:paraId="7263899B">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trPr>
        <w:tc>
          <w:tcPr>
            <w:tcW w:w="1246" w:type="dxa"/>
            <w:noWrap/>
            <w:vAlign w:val="center"/>
          </w:tcPr>
          <w:p w14:paraId="16F70818">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一级指标</w:t>
            </w:r>
          </w:p>
        </w:tc>
        <w:tc>
          <w:tcPr>
            <w:tcW w:w="727" w:type="dxa"/>
            <w:noWrap/>
            <w:vAlign w:val="center"/>
          </w:tcPr>
          <w:p w14:paraId="38424765">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分值</w:t>
            </w:r>
          </w:p>
        </w:tc>
        <w:tc>
          <w:tcPr>
            <w:tcW w:w="1290" w:type="dxa"/>
            <w:noWrap/>
            <w:vAlign w:val="center"/>
          </w:tcPr>
          <w:p w14:paraId="179CBBCC">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二级指标</w:t>
            </w:r>
          </w:p>
        </w:tc>
        <w:tc>
          <w:tcPr>
            <w:tcW w:w="3180" w:type="dxa"/>
            <w:noWrap/>
            <w:vAlign w:val="center"/>
          </w:tcPr>
          <w:p w14:paraId="5E1118AB">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三级指标</w:t>
            </w:r>
          </w:p>
        </w:tc>
        <w:tc>
          <w:tcPr>
            <w:tcW w:w="940" w:type="dxa"/>
            <w:noWrap/>
            <w:vAlign w:val="center"/>
          </w:tcPr>
          <w:p w14:paraId="2EC5EDE7">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分值</w:t>
            </w:r>
          </w:p>
        </w:tc>
        <w:tc>
          <w:tcPr>
            <w:tcW w:w="1212" w:type="dxa"/>
            <w:noWrap/>
            <w:vAlign w:val="center"/>
          </w:tcPr>
          <w:p w14:paraId="4DCBAA81">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得分</w:t>
            </w:r>
          </w:p>
        </w:tc>
      </w:tr>
      <w:tr w14:paraId="169B6648">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trPr>
        <w:tc>
          <w:tcPr>
            <w:tcW w:w="1246" w:type="dxa"/>
            <w:vMerge w:val="restart"/>
            <w:noWrap/>
            <w:vAlign w:val="center"/>
          </w:tcPr>
          <w:p w14:paraId="401A1B3D">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投入</w:t>
            </w:r>
          </w:p>
        </w:tc>
        <w:tc>
          <w:tcPr>
            <w:tcW w:w="727" w:type="dxa"/>
            <w:vMerge w:val="restart"/>
            <w:noWrap/>
            <w:vAlign w:val="center"/>
          </w:tcPr>
          <w:p w14:paraId="617FFBC5">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rPr>
              <w:t>15</w:t>
            </w:r>
          </w:p>
        </w:tc>
        <w:tc>
          <w:tcPr>
            <w:tcW w:w="1290" w:type="dxa"/>
            <w:vMerge w:val="restart"/>
            <w:vAlign w:val="center"/>
          </w:tcPr>
          <w:p w14:paraId="4CD37D99">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rPr>
              <w:t>目标设定</w:t>
            </w:r>
          </w:p>
        </w:tc>
        <w:tc>
          <w:tcPr>
            <w:tcW w:w="3180" w:type="dxa"/>
            <w:vAlign w:val="center"/>
          </w:tcPr>
          <w:p w14:paraId="1C8093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Style w:val="14"/>
                <w:rFonts w:hint="eastAsia" w:ascii="宋体" w:hAnsi="宋体" w:eastAsia="宋体" w:cs="宋体"/>
                <w:sz w:val="24"/>
                <w:szCs w:val="24"/>
                <w:lang w:val="en-US" w:eastAsia="zh-CN" w:bidi="ar"/>
              </w:rPr>
              <w:t>绩效目标合法合规合理性</w:t>
            </w:r>
          </w:p>
        </w:tc>
        <w:tc>
          <w:tcPr>
            <w:tcW w:w="940" w:type="dxa"/>
            <w:vAlign w:val="center"/>
          </w:tcPr>
          <w:p w14:paraId="75A235E6">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1</w:t>
            </w:r>
          </w:p>
        </w:tc>
        <w:tc>
          <w:tcPr>
            <w:tcW w:w="1212" w:type="dxa"/>
            <w:noWrap/>
            <w:vAlign w:val="center"/>
          </w:tcPr>
          <w:p w14:paraId="4E93C9D6">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
              </w:rPr>
            </w:pPr>
            <w:r>
              <w:rPr>
                <w:rFonts w:hint="eastAsia" w:ascii="宋体" w:hAnsi="宋体" w:eastAsia="宋体" w:cs="宋体"/>
                <w:color w:val="000000"/>
                <w:sz w:val="24"/>
                <w:szCs w:val="24"/>
                <w:lang w:val="en-US" w:eastAsia="zh"/>
              </w:rPr>
              <w:t>1</w:t>
            </w:r>
          </w:p>
        </w:tc>
      </w:tr>
      <w:tr w14:paraId="02B87001">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trPr>
        <w:tc>
          <w:tcPr>
            <w:tcW w:w="1246" w:type="dxa"/>
            <w:vMerge w:val="continue"/>
            <w:noWrap/>
            <w:vAlign w:val="center"/>
          </w:tcPr>
          <w:p w14:paraId="06588EA6">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noWrap/>
            <w:vAlign w:val="center"/>
          </w:tcPr>
          <w:p w14:paraId="6A4BA12E">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290" w:type="dxa"/>
            <w:vMerge w:val="continue"/>
            <w:vAlign w:val="center"/>
          </w:tcPr>
          <w:p w14:paraId="3EA01C96">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3180" w:type="dxa"/>
            <w:vAlign w:val="center"/>
          </w:tcPr>
          <w:p w14:paraId="03065D8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Style w:val="14"/>
                <w:rFonts w:hint="eastAsia" w:ascii="宋体" w:hAnsi="宋体" w:eastAsia="宋体" w:cs="宋体"/>
                <w:sz w:val="24"/>
                <w:szCs w:val="24"/>
                <w:lang w:val="en-US" w:eastAsia="zh-CN" w:bidi="ar"/>
              </w:rPr>
              <w:t>绩效目标与部门职责的相符性</w:t>
            </w:r>
          </w:p>
        </w:tc>
        <w:tc>
          <w:tcPr>
            <w:tcW w:w="940" w:type="dxa"/>
            <w:vAlign w:val="center"/>
          </w:tcPr>
          <w:p w14:paraId="1901BAEF">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1</w:t>
            </w:r>
          </w:p>
        </w:tc>
        <w:tc>
          <w:tcPr>
            <w:tcW w:w="1212" w:type="dxa"/>
            <w:noWrap/>
            <w:vAlign w:val="center"/>
          </w:tcPr>
          <w:p w14:paraId="43C9CDCC">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
              </w:rPr>
            </w:pPr>
            <w:r>
              <w:rPr>
                <w:rFonts w:hint="eastAsia" w:ascii="宋体" w:hAnsi="宋体" w:eastAsia="宋体" w:cs="宋体"/>
                <w:color w:val="000000"/>
                <w:sz w:val="24"/>
                <w:szCs w:val="24"/>
                <w:lang w:val="en-US" w:eastAsia="zh"/>
              </w:rPr>
              <w:t>1</w:t>
            </w:r>
          </w:p>
        </w:tc>
      </w:tr>
      <w:tr w14:paraId="1900C78F">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trPr>
        <w:tc>
          <w:tcPr>
            <w:tcW w:w="1246" w:type="dxa"/>
            <w:vMerge w:val="continue"/>
            <w:noWrap/>
            <w:vAlign w:val="center"/>
          </w:tcPr>
          <w:p w14:paraId="410CD055">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bookmarkStart w:id="44" w:name="OLE_LINK3" w:colFirst="5" w:colLast="8"/>
          </w:p>
        </w:tc>
        <w:tc>
          <w:tcPr>
            <w:tcW w:w="727" w:type="dxa"/>
            <w:vMerge w:val="continue"/>
            <w:noWrap/>
            <w:vAlign w:val="center"/>
          </w:tcPr>
          <w:p w14:paraId="1464D466">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290" w:type="dxa"/>
            <w:vMerge w:val="continue"/>
            <w:vAlign w:val="center"/>
          </w:tcPr>
          <w:p w14:paraId="3911B9F9">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rPr>
            </w:pPr>
          </w:p>
        </w:tc>
        <w:tc>
          <w:tcPr>
            <w:tcW w:w="3180" w:type="dxa"/>
            <w:vAlign w:val="center"/>
          </w:tcPr>
          <w:p w14:paraId="4EB0F2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Style w:val="14"/>
                <w:rFonts w:hint="eastAsia" w:ascii="宋体" w:hAnsi="宋体" w:eastAsia="宋体" w:cs="宋体"/>
                <w:sz w:val="24"/>
                <w:szCs w:val="24"/>
                <w:lang w:val="en-US" w:eastAsia="zh-CN" w:bidi="ar"/>
              </w:rPr>
              <w:t>绩效指标清晰量化程度</w:t>
            </w:r>
          </w:p>
        </w:tc>
        <w:tc>
          <w:tcPr>
            <w:tcW w:w="940" w:type="dxa"/>
            <w:vAlign w:val="center"/>
          </w:tcPr>
          <w:p w14:paraId="24DD7019">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1</w:t>
            </w:r>
          </w:p>
        </w:tc>
        <w:tc>
          <w:tcPr>
            <w:tcW w:w="1212" w:type="dxa"/>
            <w:noWrap/>
            <w:vAlign w:val="center"/>
          </w:tcPr>
          <w:p w14:paraId="6A34CC2D">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
              </w:rPr>
            </w:pPr>
            <w:r>
              <w:rPr>
                <w:rFonts w:hint="eastAsia" w:ascii="宋体" w:hAnsi="宋体" w:eastAsia="宋体" w:cs="宋体"/>
                <w:color w:val="000000"/>
                <w:sz w:val="24"/>
                <w:szCs w:val="24"/>
                <w:lang w:val="en-US" w:eastAsia="zh"/>
              </w:rPr>
              <w:t>1</w:t>
            </w:r>
          </w:p>
        </w:tc>
      </w:tr>
      <w:bookmarkEnd w:id="44"/>
      <w:tr w14:paraId="66816CAE">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trPr>
        <w:tc>
          <w:tcPr>
            <w:tcW w:w="1246" w:type="dxa"/>
            <w:vMerge w:val="continue"/>
            <w:noWrap/>
            <w:vAlign w:val="center"/>
          </w:tcPr>
          <w:p w14:paraId="2AB0B1AC">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bookmarkStart w:id="45" w:name="OLE_LINK6" w:colFirst="5" w:colLast="8"/>
          </w:p>
        </w:tc>
        <w:tc>
          <w:tcPr>
            <w:tcW w:w="727" w:type="dxa"/>
            <w:vMerge w:val="continue"/>
            <w:noWrap/>
            <w:vAlign w:val="center"/>
          </w:tcPr>
          <w:p w14:paraId="76F6CAB1">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290" w:type="dxa"/>
            <w:vMerge w:val="continue"/>
            <w:vAlign w:val="center"/>
          </w:tcPr>
          <w:p w14:paraId="466330F0">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3180" w:type="dxa"/>
            <w:vAlign w:val="center"/>
          </w:tcPr>
          <w:p w14:paraId="7B3ACE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Style w:val="14"/>
                <w:rFonts w:hint="eastAsia" w:ascii="宋体" w:hAnsi="宋体" w:eastAsia="宋体" w:cs="宋体"/>
                <w:sz w:val="24"/>
                <w:szCs w:val="24"/>
                <w:lang w:val="en-US" w:eastAsia="zh-CN" w:bidi="ar"/>
              </w:rPr>
              <w:t>绩效目标与年度任务对应性</w:t>
            </w:r>
          </w:p>
        </w:tc>
        <w:tc>
          <w:tcPr>
            <w:tcW w:w="940" w:type="dxa"/>
            <w:vAlign w:val="center"/>
          </w:tcPr>
          <w:p w14:paraId="14147407">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1</w:t>
            </w:r>
          </w:p>
        </w:tc>
        <w:tc>
          <w:tcPr>
            <w:tcW w:w="1212" w:type="dxa"/>
            <w:noWrap/>
            <w:vAlign w:val="center"/>
          </w:tcPr>
          <w:p w14:paraId="1585E79F">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sz w:val="24"/>
                <w:szCs w:val="24"/>
                <w:lang w:val="en-US" w:eastAsia="zh"/>
              </w:rPr>
            </w:pPr>
            <w:r>
              <w:rPr>
                <w:rFonts w:hint="eastAsia" w:ascii="宋体" w:hAnsi="宋体" w:eastAsia="宋体" w:cs="宋体"/>
                <w:sz w:val="24"/>
                <w:szCs w:val="24"/>
                <w:lang w:val="en-US" w:eastAsia="zh"/>
              </w:rPr>
              <w:t>1</w:t>
            </w:r>
          </w:p>
        </w:tc>
      </w:tr>
      <w:bookmarkEnd w:id="45"/>
      <w:tr w14:paraId="310A5CAB">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trPr>
        <w:tc>
          <w:tcPr>
            <w:tcW w:w="1246" w:type="dxa"/>
            <w:vMerge w:val="continue"/>
            <w:noWrap/>
            <w:vAlign w:val="center"/>
          </w:tcPr>
          <w:p w14:paraId="180B6CAD">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bookmarkStart w:id="46" w:name="OLE_LINK7" w:colFirst="5" w:colLast="8"/>
          </w:p>
        </w:tc>
        <w:tc>
          <w:tcPr>
            <w:tcW w:w="727" w:type="dxa"/>
            <w:vMerge w:val="continue"/>
            <w:noWrap/>
            <w:vAlign w:val="center"/>
          </w:tcPr>
          <w:p w14:paraId="3816F9D0">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290" w:type="dxa"/>
            <w:vMerge w:val="continue"/>
            <w:vAlign w:val="center"/>
          </w:tcPr>
          <w:p w14:paraId="3885F684">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CN"/>
              </w:rPr>
            </w:pPr>
          </w:p>
        </w:tc>
        <w:tc>
          <w:tcPr>
            <w:tcW w:w="3180" w:type="dxa"/>
            <w:vAlign w:val="center"/>
          </w:tcPr>
          <w:p w14:paraId="2D42962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Style w:val="14"/>
                <w:rFonts w:hint="eastAsia" w:ascii="宋体" w:hAnsi="宋体" w:eastAsia="宋体" w:cs="宋体"/>
                <w:sz w:val="24"/>
                <w:szCs w:val="24"/>
                <w:lang w:val="en-US" w:eastAsia="zh-CN" w:bidi="ar"/>
              </w:rPr>
              <w:t>绩效目标与预算资金匹配性</w:t>
            </w:r>
          </w:p>
        </w:tc>
        <w:tc>
          <w:tcPr>
            <w:tcW w:w="940" w:type="dxa"/>
            <w:vAlign w:val="center"/>
          </w:tcPr>
          <w:p w14:paraId="63B38FF9">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2</w:t>
            </w:r>
          </w:p>
        </w:tc>
        <w:tc>
          <w:tcPr>
            <w:tcW w:w="1212" w:type="dxa"/>
            <w:noWrap/>
            <w:vAlign w:val="center"/>
          </w:tcPr>
          <w:p w14:paraId="216BFBA8">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lang w:val="en-US" w:eastAsia="zh"/>
              </w:rPr>
            </w:pPr>
            <w:r>
              <w:rPr>
                <w:rFonts w:hint="eastAsia" w:ascii="宋体" w:hAnsi="宋体" w:eastAsia="宋体" w:cs="宋体"/>
                <w:color w:val="000000"/>
                <w:kern w:val="0"/>
                <w:sz w:val="24"/>
                <w:szCs w:val="24"/>
                <w:lang w:val="en-US" w:eastAsia="zh"/>
              </w:rPr>
              <w:t>1</w:t>
            </w:r>
          </w:p>
        </w:tc>
      </w:tr>
      <w:bookmarkEnd w:id="46"/>
      <w:tr w14:paraId="515B8EB3">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trPr>
        <w:tc>
          <w:tcPr>
            <w:tcW w:w="1246" w:type="dxa"/>
            <w:vMerge w:val="continue"/>
            <w:noWrap/>
            <w:vAlign w:val="center"/>
          </w:tcPr>
          <w:p w14:paraId="4240072D">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noWrap/>
            <w:vAlign w:val="center"/>
          </w:tcPr>
          <w:p w14:paraId="5064C77F">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290" w:type="dxa"/>
            <w:vMerge w:val="restart"/>
            <w:noWrap/>
            <w:vAlign w:val="center"/>
          </w:tcPr>
          <w:p w14:paraId="5E33D544">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预算配置</w:t>
            </w:r>
          </w:p>
          <w:p w14:paraId="682D5178">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p>
        </w:tc>
        <w:tc>
          <w:tcPr>
            <w:tcW w:w="3180" w:type="dxa"/>
            <w:noWrap/>
            <w:vAlign w:val="center"/>
          </w:tcPr>
          <w:p w14:paraId="27E8A7A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rPr>
            </w:pPr>
            <w:r>
              <w:rPr>
                <w:rStyle w:val="15"/>
                <w:rFonts w:hint="eastAsia" w:ascii="宋体" w:hAnsi="宋体" w:eastAsia="宋体" w:cs="宋体"/>
                <w:sz w:val="24"/>
                <w:szCs w:val="24"/>
                <w:lang w:val="en-US" w:eastAsia="zh-CN" w:bidi="ar"/>
              </w:rPr>
              <w:t>在职人员控制率</w:t>
            </w:r>
          </w:p>
        </w:tc>
        <w:tc>
          <w:tcPr>
            <w:tcW w:w="940" w:type="dxa"/>
            <w:noWrap/>
            <w:vAlign w:val="center"/>
          </w:tcPr>
          <w:p w14:paraId="4C8AB4C7">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w:t>
            </w:r>
          </w:p>
        </w:tc>
        <w:tc>
          <w:tcPr>
            <w:tcW w:w="1212" w:type="dxa"/>
            <w:noWrap/>
            <w:vAlign w:val="center"/>
          </w:tcPr>
          <w:p w14:paraId="56D2C7F7">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sz w:val="24"/>
                <w:szCs w:val="24"/>
                <w:lang w:val="en-US" w:eastAsia="zh"/>
              </w:rPr>
            </w:pPr>
            <w:r>
              <w:rPr>
                <w:rFonts w:hint="eastAsia" w:ascii="宋体" w:hAnsi="宋体" w:eastAsia="宋体" w:cs="宋体"/>
                <w:b w:val="0"/>
                <w:bCs/>
                <w:sz w:val="24"/>
                <w:szCs w:val="24"/>
                <w:lang w:val="en-US" w:eastAsia="zh"/>
              </w:rPr>
              <w:t>0</w:t>
            </w:r>
          </w:p>
        </w:tc>
      </w:tr>
      <w:tr w14:paraId="5402477A">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trPr>
        <w:tc>
          <w:tcPr>
            <w:tcW w:w="1246" w:type="dxa"/>
            <w:vMerge w:val="continue"/>
            <w:noWrap/>
            <w:vAlign w:val="center"/>
          </w:tcPr>
          <w:p w14:paraId="0CDCB82D">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noWrap/>
            <w:vAlign w:val="center"/>
          </w:tcPr>
          <w:p w14:paraId="16E1BF50">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290" w:type="dxa"/>
            <w:vMerge w:val="continue"/>
            <w:noWrap/>
            <w:vAlign w:val="center"/>
          </w:tcPr>
          <w:p w14:paraId="2854C447">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p>
        </w:tc>
        <w:tc>
          <w:tcPr>
            <w:tcW w:w="3180" w:type="dxa"/>
            <w:noWrap/>
            <w:vAlign w:val="center"/>
          </w:tcPr>
          <w:p w14:paraId="0A3C5CE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rPr>
            </w:pPr>
            <w:r>
              <w:rPr>
                <w:rStyle w:val="15"/>
                <w:rFonts w:hint="eastAsia" w:ascii="宋体" w:hAnsi="宋体" w:eastAsia="宋体" w:cs="宋体"/>
                <w:sz w:val="24"/>
                <w:szCs w:val="24"/>
                <w:lang w:val="en-US" w:eastAsia="zh-CN" w:bidi="ar"/>
              </w:rPr>
              <w:t>“三公经费”变动率</w:t>
            </w:r>
          </w:p>
        </w:tc>
        <w:tc>
          <w:tcPr>
            <w:tcW w:w="940" w:type="dxa"/>
            <w:noWrap/>
            <w:vAlign w:val="center"/>
          </w:tcPr>
          <w:p w14:paraId="21A87141">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w:t>
            </w:r>
          </w:p>
        </w:tc>
        <w:tc>
          <w:tcPr>
            <w:tcW w:w="1212" w:type="dxa"/>
            <w:noWrap/>
            <w:vAlign w:val="center"/>
          </w:tcPr>
          <w:p w14:paraId="5ED2F057">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sz w:val="24"/>
                <w:szCs w:val="24"/>
                <w:lang w:val="en-US" w:eastAsia="zh"/>
              </w:rPr>
            </w:pPr>
            <w:r>
              <w:rPr>
                <w:rFonts w:hint="eastAsia" w:ascii="宋体" w:hAnsi="宋体" w:eastAsia="宋体" w:cs="宋体"/>
                <w:b w:val="0"/>
                <w:bCs/>
                <w:sz w:val="24"/>
                <w:szCs w:val="24"/>
                <w:lang w:val="en-US" w:eastAsia="zh"/>
              </w:rPr>
              <w:t>0</w:t>
            </w:r>
          </w:p>
        </w:tc>
      </w:tr>
      <w:tr w14:paraId="2C369D04">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trPr>
        <w:tc>
          <w:tcPr>
            <w:tcW w:w="1246" w:type="dxa"/>
            <w:vMerge w:val="continue"/>
            <w:noWrap/>
            <w:vAlign w:val="center"/>
          </w:tcPr>
          <w:p w14:paraId="548E60DF">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noWrap/>
            <w:vAlign w:val="center"/>
          </w:tcPr>
          <w:p w14:paraId="28DAABF5">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290" w:type="dxa"/>
            <w:vMerge w:val="continue"/>
            <w:noWrap/>
            <w:vAlign w:val="center"/>
          </w:tcPr>
          <w:p w14:paraId="3B35E79F">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p>
        </w:tc>
        <w:tc>
          <w:tcPr>
            <w:tcW w:w="3180" w:type="dxa"/>
            <w:noWrap/>
            <w:vAlign w:val="center"/>
          </w:tcPr>
          <w:p w14:paraId="51FBB8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rPr>
            </w:pPr>
            <w:r>
              <w:rPr>
                <w:rStyle w:val="15"/>
                <w:rFonts w:hint="eastAsia" w:ascii="宋体" w:hAnsi="宋体" w:eastAsia="宋体" w:cs="宋体"/>
                <w:sz w:val="24"/>
                <w:szCs w:val="24"/>
                <w:lang w:val="en-US" w:eastAsia="zh-CN" w:bidi="ar"/>
              </w:rPr>
              <w:t>重点支出安排率</w:t>
            </w:r>
          </w:p>
        </w:tc>
        <w:tc>
          <w:tcPr>
            <w:tcW w:w="940" w:type="dxa"/>
            <w:noWrap/>
            <w:vAlign w:val="center"/>
          </w:tcPr>
          <w:p w14:paraId="27B4A261">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3</w:t>
            </w:r>
          </w:p>
        </w:tc>
        <w:tc>
          <w:tcPr>
            <w:tcW w:w="1212" w:type="dxa"/>
            <w:noWrap/>
            <w:vAlign w:val="center"/>
          </w:tcPr>
          <w:p w14:paraId="2E53AAD9">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sz w:val="24"/>
                <w:szCs w:val="24"/>
                <w:lang w:val="en-US" w:eastAsia="zh"/>
              </w:rPr>
            </w:pPr>
            <w:r>
              <w:rPr>
                <w:rFonts w:hint="eastAsia" w:ascii="宋体" w:hAnsi="宋体" w:eastAsia="宋体" w:cs="宋体"/>
                <w:b w:val="0"/>
                <w:bCs/>
                <w:sz w:val="24"/>
                <w:szCs w:val="24"/>
                <w:lang w:val="en-US" w:eastAsia="zh"/>
              </w:rPr>
              <w:t>3</w:t>
            </w:r>
          </w:p>
        </w:tc>
      </w:tr>
      <w:tr w14:paraId="5415D82F">
        <w:tblPrEx>
          <w:tblBorders>
            <w:top w:val="single" w:color="auto" w:sz="8" w:space="0"/>
            <w:left w:val="none" w:color="auto" w:sz="0" w:space="0"/>
            <w:bottom w:val="single" w:color="auto" w:sz="8"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trPr>
        <w:tc>
          <w:tcPr>
            <w:tcW w:w="1246" w:type="dxa"/>
            <w:vMerge w:val="continue"/>
            <w:noWrap/>
            <w:vAlign w:val="center"/>
          </w:tcPr>
          <w:p w14:paraId="099B4D39">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noWrap/>
            <w:vAlign w:val="center"/>
          </w:tcPr>
          <w:p w14:paraId="1297ED63">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4470" w:type="dxa"/>
            <w:gridSpan w:val="2"/>
            <w:noWrap/>
            <w:vAlign w:val="center"/>
          </w:tcPr>
          <w:p w14:paraId="4EF0F475">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合计</w:t>
            </w:r>
          </w:p>
        </w:tc>
        <w:tc>
          <w:tcPr>
            <w:tcW w:w="940" w:type="dxa"/>
            <w:noWrap/>
            <w:vAlign w:val="center"/>
          </w:tcPr>
          <w:p w14:paraId="6F46D400">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15</w:t>
            </w:r>
          </w:p>
        </w:tc>
        <w:tc>
          <w:tcPr>
            <w:tcW w:w="1212" w:type="dxa"/>
            <w:noWrap/>
            <w:vAlign w:val="center"/>
          </w:tcPr>
          <w:p w14:paraId="0711C67A">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bCs w:val="0"/>
                <w:sz w:val="24"/>
                <w:szCs w:val="24"/>
                <w:lang w:val="en-US" w:eastAsia="zh"/>
              </w:rPr>
            </w:pPr>
            <w:r>
              <w:rPr>
                <w:rFonts w:hint="eastAsia" w:ascii="宋体" w:hAnsi="宋体" w:eastAsia="宋体" w:cs="宋体"/>
                <w:b/>
                <w:bCs w:val="0"/>
                <w:sz w:val="24"/>
                <w:szCs w:val="24"/>
                <w:lang w:val="en-US" w:eastAsia="zh"/>
              </w:rPr>
              <w:t>8</w:t>
            </w:r>
          </w:p>
        </w:tc>
      </w:tr>
    </w:tbl>
    <w:p w14:paraId="39A92DA0">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1.目标设定情况</w:t>
      </w:r>
    </w:p>
    <w:p w14:paraId="021F8EE5">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（1）绩效目标合法合规合理性</w:t>
      </w:r>
    </w:p>
    <w:p w14:paraId="5BDDDA07">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 w:bidi="ar-SA"/>
        </w:rPr>
      </w:pPr>
      <w:r>
        <w:rPr>
          <w:rFonts w:hint="eastAsia" w:ascii="宋体" w:hAnsi="宋体" w:eastAsia="宋体" w:cs="宋体"/>
          <w:color w:val="000000"/>
          <w:kern w:val="2"/>
          <w:sz w:val="24"/>
          <w:szCs w:val="24"/>
          <w:lang w:val="en-US" w:eastAsia="zh" w:bidi="ar-SA"/>
        </w:rPr>
        <w:t>市公安局设立的整体支出绩效目标依据充分，符合客观实际，符合国家法律法规、国民经济和社会发展总体规划。本项目满分1分，得1分。</w:t>
      </w:r>
    </w:p>
    <w:p w14:paraId="215AD511">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 w:bidi="ar-SA"/>
        </w:rPr>
        <w:t>（2）</w:t>
      </w:r>
      <w:r>
        <w:rPr>
          <w:rFonts w:hint="eastAsia" w:ascii="宋体" w:hAnsi="宋体" w:eastAsia="宋体" w:cs="宋体"/>
          <w:b/>
          <w:bCs/>
          <w:color w:val="000000"/>
          <w:kern w:val="2"/>
          <w:sz w:val="24"/>
          <w:szCs w:val="24"/>
          <w:lang w:val="en-US" w:eastAsia="zh-CN" w:bidi="ar-SA"/>
        </w:rPr>
        <w:t>绩效目标与部门职责的相符性</w:t>
      </w:r>
    </w:p>
    <w:p w14:paraId="5C129D55">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市公安局绩效目标符合“三定”方案中所赋予的职责。本项目满分1分，得1分。</w:t>
      </w:r>
    </w:p>
    <w:p w14:paraId="5E8F9F39">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 w:bidi="ar-SA"/>
        </w:rPr>
        <w:t>（3）</w:t>
      </w:r>
      <w:r>
        <w:rPr>
          <w:rFonts w:hint="eastAsia" w:ascii="宋体" w:hAnsi="宋体" w:eastAsia="宋体" w:cs="宋体"/>
          <w:b/>
          <w:bCs/>
          <w:color w:val="000000"/>
          <w:kern w:val="2"/>
          <w:sz w:val="24"/>
          <w:szCs w:val="24"/>
          <w:lang w:val="en-US" w:eastAsia="zh-CN" w:bidi="ar-SA"/>
        </w:rPr>
        <w:t>绩效指标清晰量化程度</w:t>
      </w:r>
    </w:p>
    <w:p w14:paraId="7E4E22A0">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 w:bidi="ar-SA"/>
        </w:rPr>
      </w:pPr>
      <w:r>
        <w:rPr>
          <w:rFonts w:hint="eastAsia" w:ascii="宋体" w:hAnsi="宋体" w:eastAsia="宋体" w:cs="宋体"/>
          <w:color w:val="000000"/>
          <w:kern w:val="2"/>
          <w:sz w:val="24"/>
          <w:szCs w:val="24"/>
          <w:lang w:val="en-US" w:eastAsia="zh-CN" w:bidi="ar-SA"/>
        </w:rPr>
        <w:t>经考察，该</w:t>
      </w:r>
      <w:r>
        <w:rPr>
          <w:rFonts w:hint="eastAsia" w:eastAsia="宋体" w:cs="宋体"/>
          <w:color w:val="000000"/>
          <w:kern w:val="2"/>
          <w:sz w:val="24"/>
          <w:szCs w:val="24"/>
          <w:lang w:val="en-US" w:eastAsia="zh-CN" w:bidi="ar-SA"/>
        </w:rPr>
        <w:t>部门</w:t>
      </w:r>
      <w:r>
        <w:rPr>
          <w:rFonts w:hint="eastAsia" w:ascii="宋体" w:hAnsi="宋体" w:eastAsia="宋体" w:cs="宋体"/>
          <w:color w:val="000000"/>
          <w:kern w:val="2"/>
          <w:sz w:val="24"/>
          <w:szCs w:val="24"/>
          <w:lang w:val="en-US" w:eastAsia="zh" w:bidi="ar-SA"/>
        </w:rPr>
        <w:t>整体支出绩效目标</w:t>
      </w:r>
      <w:r>
        <w:rPr>
          <w:rFonts w:hint="eastAsia" w:ascii="宋体" w:hAnsi="宋体" w:eastAsia="宋体" w:cs="宋体"/>
          <w:color w:val="000000"/>
          <w:kern w:val="2"/>
          <w:sz w:val="24"/>
          <w:szCs w:val="24"/>
          <w:lang w:val="en-US" w:eastAsia="zh-CN" w:bidi="ar-SA"/>
        </w:rPr>
        <w:t>结构完整、内容合理。产出指标包含了数量指标、质量指标和时效指标；效果指标根据项目实施内容和立项目标，制定了相应的社会效益指标和满意度指标，绩效目标基本具体细化为可量化评估的指标；绩效目标清晰可衡量。</w:t>
      </w:r>
      <w:r>
        <w:rPr>
          <w:rFonts w:hint="eastAsia" w:eastAsia="宋体" w:cs="宋体"/>
          <w:color w:val="000000"/>
          <w:kern w:val="2"/>
          <w:sz w:val="24"/>
          <w:szCs w:val="24"/>
          <w:lang w:val="en-US" w:eastAsia="zh-CN" w:bidi="ar-SA"/>
        </w:rPr>
        <w:t>本项目</w:t>
      </w:r>
      <w:r>
        <w:rPr>
          <w:rFonts w:hint="eastAsia" w:ascii="宋体" w:hAnsi="宋体" w:eastAsia="宋体" w:cs="宋体"/>
          <w:color w:val="000000"/>
          <w:kern w:val="2"/>
          <w:sz w:val="24"/>
          <w:szCs w:val="24"/>
          <w:lang w:val="en-US" w:eastAsia="zh-CN" w:bidi="ar-SA"/>
        </w:rPr>
        <w:t>满分1分，得1分。</w:t>
      </w:r>
    </w:p>
    <w:p w14:paraId="06AA2EEF">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 w:bidi="ar-SA"/>
        </w:rPr>
        <w:t>（4）</w:t>
      </w:r>
      <w:r>
        <w:rPr>
          <w:rFonts w:hint="eastAsia" w:ascii="宋体" w:hAnsi="宋体" w:eastAsia="宋体" w:cs="宋体"/>
          <w:b/>
          <w:bCs/>
          <w:color w:val="000000"/>
          <w:kern w:val="2"/>
          <w:sz w:val="24"/>
          <w:szCs w:val="24"/>
          <w:lang w:val="en-US" w:eastAsia="zh-CN" w:bidi="ar-SA"/>
        </w:rPr>
        <w:t>绩效目标与年度任务对应性</w:t>
      </w:r>
    </w:p>
    <w:p w14:paraId="7CD0745C">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 w:bidi="ar-SA"/>
        </w:rPr>
      </w:pPr>
      <w:r>
        <w:rPr>
          <w:rFonts w:hint="eastAsia" w:ascii="宋体" w:hAnsi="宋体" w:eastAsia="宋体" w:cs="宋体"/>
          <w:color w:val="000000"/>
          <w:kern w:val="2"/>
          <w:sz w:val="24"/>
          <w:szCs w:val="24"/>
          <w:lang w:val="en-US" w:eastAsia="zh" w:bidi="ar-SA"/>
        </w:rPr>
        <w:t>市公安局设置的绩效目标与部门年度的任务数或计划数相对应。本项目满分1分，得1分。</w:t>
      </w:r>
    </w:p>
    <w:p w14:paraId="09E909CE">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 w:bidi="ar-SA"/>
        </w:rPr>
        <w:t>（5）</w:t>
      </w:r>
      <w:r>
        <w:rPr>
          <w:rFonts w:hint="eastAsia" w:ascii="宋体" w:hAnsi="宋体" w:eastAsia="宋体" w:cs="宋体"/>
          <w:b/>
          <w:bCs/>
          <w:color w:val="000000"/>
          <w:kern w:val="2"/>
          <w:sz w:val="24"/>
          <w:szCs w:val="24"/>
          <w:lang w:val="en-US" w:eastAsia="zh-CN" w:bidi="ar-SA"/>
        </w:rPr>
        <w:t>绩效目标与预算资金匹配性</w:t>
      </w:r>
    </w:p>
    <w:p w14:paraId="33235B79">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ascii="宋体" w:hAnsi="宋体" w:eastAsia="宋体" w:cs="宋体"/>
          <w:color w:val="000000"/>
          <w:kern w:val="2"/>
          <w:sz w:val="24"/>
          <w:szCs w:val="24"/>
          <w:lang w:val="en-US" w:eastAsia="zh" w:bidi="ar-SA"/>
        </w:rPr>
      </w:pPr>
      <w:r>
        <w:rPr>
          <w:rFonts w:hint="eastAsia" w:ascii="宋体" w:hAnsi="宋体" w:eastAsia="宋体" w:cs="宋体"/>
          <w:color w:val="000000"/>
          <w:kern w:val="2"/>
          <w:sz w:val="24"/>
          <w:szCs w:val="24"/>
          <w:lang w:val="en-US" w:eastAsia="zh" w:bidi="ar-SA"/>
        </w:rPr>
        <w:t>市公安局2023年度年初预算数：15,382.99万元，当年调整预算13,775.61万元，调整率为89.55%，年初绩效目标与预算资金不匹配，预算数相差过</w:t>
      </w:r>
      <w:r>
        <w:rPr>
          <w:rFonts w:hint="eastAsia" w:eastAsia="宋体" w:cs="宋体"/>
          <w:color w:val="000000"/>
          <w:kern w:val="2"/>
          <w:sz w:val="24"/>
          <w:szCs w:val="24"/>
          <w:lang w:val="en-US" w:eastAsia="zh-CN" w:bidi="ar-SA"/>
        </w:rPr>
        <w:t>大</w:t>
      </w:r>
      <w:r>
        <w:rPr>
          <w:rFonts w:hint="eastAsia" w:ascii="宋体" w:hAnsi="宋体" w:eastAsia="宋体" w:cs="宋体"/>
          <w:color w:val="000000"/>
          <w:kern w:val="2"/>
          <w:sz w:val="24"/>
          <w:szCs w:val="24"/>
          <w:lang w:val="en-US" w:eastAsia="zh" w:bidi="ar-SA"/>
        </w:rPr>
        <w:t>，本项目满分2分，扣1分，得1分。</w:t>
      </w:r>
    </w:p>
    <w:p w14:paraId="4CA32F86">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2.预算配置情况</w:t>
      </w:r>
    </w:p>
    <w:p w14:paraId="15897616">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（1</w:t>
      </w:r>
      <w:r>
        <w:rPr>
          <w:rFonts w:hint="eastAsia" w:eastAsia="宋体" w:cs="宋体"/>
          <w:b/>
          <w:bCs/>
          <w:color w:val="000000"/>
          <w:kern w:val="2"/>
          <w:sz w:val="24"/>
          <w:szCs w:val="24"/>
          <w:lang w:val="en-US" w:eastAsia="zh-CN" w:bidi="ar-SA"/>
        </w:rPr>
        <w:t>）</w:t>
      </w:r>
      <w:r>
        <w:rPr>
          <w:rFonts w:hint="eastAsia" w:ascii="宋体" w:hAnsi="宋体" w:eastAsia="宋体" w:cs="宋体"/>
          <w:b/>
          <w:bCs/>
          <w:color w:val="000000"/>
          <w:kern w:val="2"/>
          <w:sz w:val="24"/>
          <w:szCs w:val="24"/>
          <w:lang w:val="en-US" w:eastAsia="zh-CN" w:bidi="ar-SA"/>
        </w:rPr>
        <w:t>在职人员控制率</w:t>
      </w:r>
    </w:p>
    <w:p w14:paraId="27D524AE">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市公安局2023年</w:t>
      </w:r>
      <w:r>
        <w:rPr>
          <w:rFonts w:hint="eastAsia" w:eastAsia="宋体" w:cs="宋体"/>
          <w:color w:val="000000"/>
          <w:kern w:val="2"/>
          <w:sz w:val="24"/>
          <w:szCs w:val="24"/>
          <w:lang w:val="en-US" w:eastAsia="zh-CN" w:bidi="ar-SA"/>
        </w:rPr>
        <w:t>末</w:t>
      </w:r>
      <w:r>
        <w:rPr>
          <w:rFonts w:hint="eastAsia" w:eastAsia="宋体" w:cs="宋体"/>
          <w:color w:val="000000"/>
          <w:kern w:val="2"/>
          <w:sz w:val="24"/>
          <w:szCs w:val="24"/>
          <w:lang w:val="en-US" w:eastAsia="zh" w:bidi="ar-SA"/>
        </w:rPr>
        <w:t>在职人员381人，</w:t>
      </w:r>
      <w:r>
        <w:rPr>
          <w:rFonts w:hint="eastAsia" w:eastAsia="宋体" w:cs="宋体"/>
          <w:color w:val="000000"/>
          <w:kern w:val="2"/>
          <w:sz w:val="24"/>
          <w:szCs w:val="24"/>
          <w:lang w:val="en-US" w:eastAsia="zh-CN" w:bidi="ar-SA"/>
        </w:rPr>
        <w:t>根据“三定方案”行政</w:t>
      </w:r>
      <w:r>
        <w:rPr>
          <w:rFonts w:hint="eastAsia" w:eastAsia="宋体" w:cs="宋体"/>
          <w:color w:val="000000"/>
          <w:kern w:val="2"/>
          <w:sz w:val="24"/>
          <w:szCs w:val="24"/>
          <w:lang w:val="en-US" w:eastAsia="zh" w:bidi="ar-SA"/>
        </w:rPr>
        <w:t>编制人数2</w:t>
      </w:r>
      <w:r>
        <w:rPr>
          <w:rFonts w:hint="eastAsia" w:eastAsia="宋体" w:cs="宋体"/>
          <w:color w:val="000000"/>
          <w:kern w:val="2"/>
          <w:sz w:val="24"/>
          <w:szCs w:val="24"/>
          <w:highlight w:val="none"/>
          <w:lang w:val="en-US" w:eastAsia="zh" w:bidi="ar-SA"/>
        </w:rPr>
        <w:t>85人，在职人员</w:t>
      </w:r>
      <w:r>
        <w:rPr>
          <w:rFonts w:hint="eastAsia" w:eastAsia="宋体" w:cs="宋体"/>
          <w:color w:val="000000"/>
          <w:kern w:val="2"/>
          <w:sz w:val="24"/>
          <w:szCs w:val="24"/>
          <w:highlight w:val="none"/>
          <w:lang w:val="en-US" w:eastAsia="zh-CN" w:bidi="ar-SA"/>
        </w:rPr>
        <w:t>控制</w:t>
      </w:r>
      <w:r>
        <w:rPr>
          <w:rFonts w:hint="eastAsia" w:eastAsia="宋体" w:cs="宋体"/>
          <w:color w:val="000000"/>
          <w:kern w:val="2"/>
          <w:sz w:val="24"/>
          <w:szCs w:val="24"/>
          <w:highlight w:val="none"/>
          <w:lang w:val="en-US" w:eastAsia="zh" w:bidi="ar-SA"/>
        </w:rPr>
        <w:t>率为133.68%。</w:t>
      </w:r>
      <w:r>
        <w:rPr>
          <w:rFonts w:hint="eastAsia" w:eastAsia="宋体" w:cs="宋体"/>
          <w:color w:val="000000"/>
          <w:kern w:val="2"/>
          <w:sz w:val="24"/>
          <w:szCs w:val="24"/>
          <w:lang w:val="en-US" w:eastAsia="zh" w:bidi="ar-SA"/>
        </w:rPr>
        <w:t>本项目满分3分，扣3分，得0分。</w:t>
      </w:r>
    </w:p>
    <w:p w14:paraId="269B7CFF">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（2）“三公经费”变动率</w:t>
      </w:r>
    </w:p>
    <w:p w14:paraId="61D9D536">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w:t>
      </w:r>
      <w:r>
        <w:rPr>
          <w:rFonts w:hint="eastAsia" w:eastAsia="宋体" w:cs="宋体"/>
          <w:color w:val="000000"/>
          <w:kern w:val="2"/>
          <w:sz w:val="24"/>
          <w:szCs w:val="24"/>
          <w:lang w:val="en-US" w:eastAsia="zh-CN" w:bidi="ar-SA"/>
        </w:rPr>
        <w:t>2023</w:t>
      </w:r>
      <w:r>
        <w:rPr>
          <w:rFonts w:hint="eastAsia" w:eastAsia="宋体" w:cs="宋体"/>
          <w:color w:val="000000"/>
          <w:kern w:val="2"/>
          <w:sz w:val="24"/>
          <w:szCs w:val="24"/>
          <w:lang w:val="en-US" w:eastAsia="zh" w:bidi="ar-SA"/>
        </w:rPr>
        <w:t>年</w:t>
      </w:r>
      <w:r>
        <w:rPr>
          <w:rFonts w:hint="eastAsia" w:eastAsia="宋体" w:cs="宋体"/>
          <w:color w:val="000000"/>
          <w:kern w:val="2"/>
          <w:sz w:val="24"/>
          <w:szCs w:val="24"/>
          <w:lang w:val="en-US" w:eastAsia="zh-CN" w:bidi="ar-SA"/>
        </w:rPr>
        <w:t>度</w:t>
      </w:r>
      <w:r>
        <w:rPr>
          <w:rFonts w:hint="eastAsia" w:eastAsia="宋体" w:cs="宋体"/>
          <w:color w:val="000000"/>
          <w:kern w:val="2"/>
          <w:sz w:val="24"/>
          <w:szCs w:val="24"/>
          <w:lang w:val="en-US" w:eastAsia="zh" w:bidi="ar-SA"/>
        </w:rPr>
        <w:t>三公经费</w:t>
      </w:r>
      <w:r>
        <w:rPr>
          <w:rFonts w:hint="eastAsia" w:eastAsia="宋体" w:cs="宋体"/>
          <w:color w:val="000000"/>
          <w:kern w:val="2"/>
          <w:sz w:val="24"/>
          <w:szCs w:val="24"/>
          <w:lang w:val="en-US" w:eastAsia="zh-CN" w:bidi="ar-SA"/>
        </w:rPr>
        <w:t>全年</w:t>
      </w:r>
      <w:r>
        <w:rPr>
          <w:rFonts w:hint="eastAsia" w:eastAsia="宋体" w:cs="宋体"/>
          <w:color w:val="000000"/>
          <w:kern w:val="2"/>
          <w:sz w:val="24"/>
          <w:szCs w:val="24"/>
          <w:lang w:val="en-US" w:eastAsia="zh" w:bidi="ar-SA"/>
        </w:rPr>
        <w:t>预算数1</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733.81万元；上年三公经费预算数659.83万元；变动率162.77%。本项目满分3分，扣3分，得0分。</w:t>
      </w:r>
    </w:p>
    <w:p w14:paraId="65A063DC">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（3）重点支出安排率</w:t>
      </w:r>
    </w:p>
    <w:p w14:paraId="59D7207A">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 w:eastAsia="zh" w:bidi="ar-SA"/>
        </w:rPr>
      </w:pPr>
      <w:bookmarkStart w:id="47" w:name="_Toc18164"/>
      <w:bookmarkStart w:id="48" w:name="_Toc31756"/>
      <w:r>
        <w:rPr>
          <w:rFonts w:hint="eastAsia" w:eastAsia="宋体" w:cs="宋体"/>
          <w:color w:val="000000"/>
          <w:kern w:val="2"/>
          <w:sz w:val="24"/>
          <w:szCs w:val="24"/>
          <w:lang w:val="en" w:eastAsia="zh" w:bidi="ar-SA"/>
        </w:rPr>
        <w:t>市公安局项目支出预算总额17,041.68万元；重点项目支出预算批复总额：11,187.31万元</w:t>
      </w:r>
      <w:r>
        <w:rPr>
          <w:rFonts w:hint="eastAsia" w:eastAsia="宋体" w:cs="宋体"/>
          <w:color w:val="000000"/>
          <w:kern w:val="2"/>
          <w:sz w:val="24"/>
          <w:szCs w:val="24"/>
          <w:lang w:val="en" w:eastAsia="zh-CN" w:bidi="ar-SA"/>
        </w:rPr>
        <w:t>，</w:t>
      </w:r>
      <w:r>
        <w:rPr>
          <w:rFonts w:hint="eastAsia" w:eastAsia="宋体" w:cs="宋体"/>
          <w:color w:val="000000"/>
          <w:kern w:val="2"/>
          <w:sz w:val="24"/>
          <w:szCs w:val="24"/>
          <w:highlight w:val="none"/>
          <w:lang w:val="en" w:eastAsia="zh" w:bidi="ar-SA"/>
        </w:rPr>
        <w:t>（涉密资金6</w:t>
      </w:r>
      <w:r>
        <w:rPr>
          <w:rFonts w:hint="eastAsia" w:eastAsia="宋体" w:cs="宋体"/>
          <w:color w:val="000000"/>
          <w:kern w:val="2"/>
          <w:sz w:val="24"/>
          <w:szCs w:val="24"/>
          <w:highlight w:val="none"/>
          <w:lang w:val="en-US" w:eastAsia="zh-CN" w:bidi="ar-SA"/>
        </w:rPr>
        <w:t>,</w:t>
      </w:r>
      <w:r>
        <w:rPr>
          <w:rFonts w:hint="eastAsia" w:eastAsia="宋体" w:cs="宋体"/>
          <w:color w:val="000000"/>
          <w:kern w:val="2"/>
          <w:sz w:val="24"/>
          <w:szCs w:val="24"/>
          <w:highlight w:val="none"/>
          <w:lang w:val="en" w:eastAsia="zh" w:bidi="ar-SA"/>
        </w:rPr>
        <w:t>415.52万元）</w:t>
      </w:r>
      <w:r>
        <w:rPr>
          <w:rFonts w:hint="eastAsia" w:eastAsia="宋体" w:cs="宋体"/>
          <w:color w:val="000000"/>
          <w:kern w:val="2"/>
          <w:sz w:val="24"/>
          <w:szCs w:val="24"/>
          <w:lang w:val="en" w:eastAsia="zh" w:bidi="ar-SA"/>
        </w:rPr>
        <w:t>重点支出安排率为100.00%，本项目满分3分，得3分。</w:t>
      </w:r>
    </w:p>
    <w:p w14:paraId="165A7BF4">
      <w:pPr>
        <w:keepNext w:val="0"/>
        <w:keepLines w:val="0"/>
        <w:widowControl w:val="0"/>
        <w:suppressLineNumbers w:val="0"/>
        <w:autoSpaceDE w:val="0"/>
        <w:autoSpaceDN/>
        <w:spacing w:before="10" w:beforeAutospacing="0" w:after="0" w:afterAutospacing="0" w:line="360" w:lineRule="auto"/>
        <w:ind w:left="0" w:right="0" w:firstLine="482" w:firstLineChars="200"/>
        <w:jc w:val="left"/>
        <w:outlineLvl w:val="1"/>
        <w:rPr>
          <w:rFonts w:hint="eastAsia" w:ascii="宋体" w:hAnsi="宋体" w:eastAsia="宋体" w:cs="宋体"/>
          <w:b/>
          <w:bCs/>
          <w:kern w:val="2"/>
          <w:sz w:val="24"/>
          <w:szCs w:val="24"/>
          <w:lang w:val="en" w:eastAsia="zh-CN" w:bidi="ar"/>
        </w:rPr>
      </w:pPr>
      <w:bookmarkStart w:id="49" w:name="_Toc31014"/>
      <w:r>
        <w:rPr>
          <w:rFonts w:hint="eastAsia" w:ascii="宋体" w:hAnsi="宋体" w:eastAsia="宋体" w:cs="宋体"/>
          <w:b/>
          <w:bCs/>
          <w:kern w:val="2"/>
          <w:sz w:val="24"/>
          <w:szCs w:val="24"/>
          <w:lang w:val="en" w:eastAsia="zh-CN" w:bidi="ar"/>
        </w:rPr>
        <w:t>（</w:t>
      </w:r>
      <w:r>
        <w:rPr>
          <w:rFonts w:hint="eastAsia" w:ascii="宋体" w:hAnsi="宋体" w:eastAsia="宋体" w:cs="宋体"/>
          <w:b/>
          <w:bCs/>
          <w:kern w:val="2"/>
          <w:sz w:val="24"/>
          <w:szCs w:val="24"/>
          <w:lang w:val="en-US" w:eastAsia="zh-CN" w:bidi="ar"/>
        </w:rPr>
        <w:t>二）</w:t>
      </w:r>
      <w:r>
        <w:rPr>
          <w:rFonts w:hint="eastAsia" w:ascii="宋体" w:hAnsi="宋体" w:eastAsia="宋体" w:cs="宋体"/>
          <w:b/>
          <w:bCs/>
          <w:kern w:val="2"/>
          <w:sz w:val="24"/>
          <w:szCs w:val="24"/>
          <w:lang w:val="en" w:eastAsia="zh-CN" w:bidi="ar"/>
        </w:rPr>
        <w:t>项目</w:t>
      </w:r>
      <w:r>
        <w:rPr>
          <w:rFonts w:hint="eastAsia" w:ascii="宋体" w:hAnsi="宋体" w:eastAsia="宋体" w:cs="宋体"/>
          <w:b/>
          <w:bCs/>
          <w:kern w:val="2"/>
          <w:sz w:val="24"/>
          <w:szCs w:val="24"/>
          <w:lang w:val="en-US" w:eastAsia="zh-CN" w:bidi="ar"/>
        </w:rPr>
        <w:t>过程</w:t>
      </w:r>
      <w:r>
        <w:rPr>
          <w:rFonts w:hint="eastAsia" w:ascii="宋体" w:hAnsi="宋体" w:eastAsia="宋体" w:cs="宋体"/>
          <w:b/>
          <w:bCs/>
          <w:kern w:val="2"/>
          <w:sz w:val="24"/>
          <w:szCs w:val="24"/>
          <w:lang w:val="en" w:eastAsia="zh-CN" w:bidi="ar"/>
        </w:rPr>
        <w:t>情况</w:t>
      </w:r>
      <w:bookmarkEnd w:id="47"/>
      <w:bookmarkEnd w:id="48"/>
      <w:bookmarkEnd w:id="49"/>
    </w:p>
    <w:p w14:paraId="532D9694">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CN" w:bidi="ar-SA"/>
        </w:rPr>
      </w:pPr>
      <w:r>
        <w:rPr>
          <w:rFonts w:hint="eastAsia" w:eastAsia="宋体" w:cs="宋体"/>
          <w:color w:val="000000"/>
          <w:kern w:val="2"/>
          <w:sz w:val="24"/>
          <w:szCs w:val="24"/>
          <w:lang w:val="en-US" w:eastAsia="zh-CN" w:bidi="ar-SA"/>
        </w:rPr>
        <w:t>从预算执行、预算管理、资产管理三个方面进行评价，满分为4</w:t>
      </w:r>
      <w:r>
        <w:rPr>
          <w:rFonts w:hint="eastAsia" w:eastAsia="宋体" w:cs="宋体"/>
          <w:color w:val="000000"/>
          <w:kern w:val="2"/>
          <w:sz w:val="24"/>
          <w:szCs w:val="24"/>
          <w:lang w:val="en-US" w:eastAsia="zh" w:bidi="ar-SA"/>
        </w:rPr>
        <w:t>9</w:t>
      </w:r>
      <w:r>
        <w:rPr>
          <w:rFonts w:hint="eastAsia" w:eastAsia="宋体" w:cs="宋体"/>
          <w:color w:val="000000"/>
          <w:kern w:val="2"/>
          <w:sz w:val="24"/>
          <w:szCs w:val="24"/>
          <w:lang w:val="en-US" w:eastAsia="zh-CN" w:bidi="ar-SA"/>
        </w:rPr>
        <w:t>分，总得分33分。</w:t>
      </w:r>
    </w:p>
    <w:p w14:paraId="1CD86BF0">
      <w:pPr>
        <w:pStyle w:val="4"/>
        <w:keepNext w:val="0"/>
        <w:keepLines w:val="0"/>
        <w:widowControl w:val="0"/>
        <w:suppressLineNumbers w:val="0"/>
        <w:autoSpaceDE w:val="0"/>
        <w:autoSpaceDN/>
        <w:spacing w:before="165" w:beforeLines="50" w:beforeAutospacing="0" w:after="165" w:afterLines="50" w:afterAutospacing="0" w:line="360" w:lineRule="auto"/>
        <w:ind w:left="0" w:right="0" w:firstLine="0" w:firstLineChars="0"/>
        <w:jc w:val="center"/>
        <w:rPr>
          <w:rFonts w:hint="eastAsia" w:ascii="宋体" w:hAnsi="宋体" w:eastAsia="宋体" w:cs="宋体"/>
          <w:b/>
          <w:bCs/>
          <w:color w:val="000000"/>
          <w:kern w:val="2"/>
          <w:sz w:val="24"/>
          <w:szCs w:val="24"/>
          <w:lang w:val="en-US" w:eastAsia="zh-CN" w:bidi="ar"/>
        </w:rPr>
      </w:pPr>
      <w:r>
        <w:rPr>
          <w:rFonts w:hint="eastAsia" w:ascii="宋体" w:hAnsi="宋体" w:eastAsia="宋体" w:cs="宋体"/>
          <w:b/>
          <w:bCs/>
          <w:color w:val="000000"/>
          <w:kern w:val="2"/>
          <w:sz w:val="24"/>
          <w:szCs w:val="24"/>
          <w:lang w:val="en-US" w:eastAsia="zh-CN" w:bidi="ar"/>
        </w:rPr>
        <w:t>表4-2</w:t>
      </w:r>
      <w:r>
        <w:rPr>
          <w:rFonts w:hint="eastAsia" w:ascii="宋体" w:hAnsi="宋体" w:eastAsia="宋体" w:cs="宋体"/>
          <w:b/>
          <w:bCs/>
          <w:color w:val="000000"/>
          <w:kern w:val="2"/>
          <w:sz w:val="24"/>
          <w:szCs w:val="24"/>
          <w:lang w:bidi="ar"/>
        </w:rPr>
        <w:t>项目</w:t>
      </w:r>
      <w:r>
        <w:rPr>
          <w:rFonts w:hint="eastAsia" w:ascii="宋体" w:hAnsi="宋体" w:eastAsia="宋体" w:cs="宋体"/>
          <w:b/>
          <w:bCs/>
          <w:color w:val="000000"/>
          <w:kern w:val="2"/>
          <w:sz w:val="24"/>
          <w:szCs w:val="24"/>
          <w:lang w:val="en-US" w:eastAsia="zh-CN" w:bidi="ar"/>
        </w:rPr>
        <w:t>过程情况</w:t>
      </w:r>
      <w:r>
        <w:rPr>
          <w:rFonts w:hint="eastAsia" w:ascii="宋体" w:hAnsi="宋体" w:eastAsia="宋体" w:cs="宋体"/>
          <w:b/>
          <w:bCs/>
          <w:color w:val="000000"/>
          <w:kern w:val="2"/>
          <w:sz w:val="24"/>
          <w:szCs w:val="24"/>
          <w:lang w:bidi="ar"/>
        </w:rPr>
        <w:t>得分表</w:t>
      </w:r>
    </w:p>
    <w:tbl>
      <w:tblPr>
        <w:tblStyle w:val="10"/>
        <w:tblW w:w="859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246"/>
        <w:gridCol w:w="727"/>
        <w:gridCol w:w="1537"/>
        <w:gridCol w:w="2910"/>
        <w:gridCol w:w="1110"/>
        <w:gridCol w:w="1065"/>
      </w:tblGrid>
      <w:tr w14:paraId="70342B7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blHeader/>
          <w:jc w:val="center"/>
        </w:trPr>
        <w:tc>
          <w:tcPr>
            <w:tcW w:w="1246" w:type="dxa"/>
            <w:tcBorders>
              <w:tl2br w:val="nil"/>
              <w:tr2bl w:val="nil"/>
            </w:tcBorders>
            <w:noWrap/>
            <w:vAlign w:val="center"/>
          </w:tcPr>
          <w:p w14:paraId="4FFF719F">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一级指标</w:t>
            </w:r>
          </w:p>
        </w:tc>
        <w:tc>
          <w:tcPr>
            <w:tcW w:w="727" w:type="dxa"/>
            <w:tcBorders>
              <w:tl2br w:val="nil"/>
              <w:tr2bl w:val="nil"/>
            </w:tcBorders>
            <w:noWrap/>
            <w:vAlign w:val="center"/>
          </w:tcPr>
          <w:p w14:paraId="5D4333FD">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分值</w:t>
            </w:r>
          </w:p>
        </w:tc>
        <w:tc>
          <w:tcPr>
            <w:tcW w:w="1537" w:type="dxa"/>
            <w:tcBorders>
              <w:tl2br w:val="nil"/>
              <w:tr2bl w:val="nil"/>
            </w:tcBorders>
            <w:noWrap/>
            <w:vAlign w:val="center"/>
          </w:tcPr>
          <w:p w14:paraId="25725495">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二级指标</w:t>
            </w:r>
          </w:p>
        </w:tc>
        <w:tc>
          <w:tcPr>
            <w:tcW w:w="2910" w:type="dxa"/>
            <w:tcBorders>
              <w:tl2br w:val="nil"/>
              <w:tr2bl w:val="nil"/>
            </w:tcBorders>
            <w:noWrap/>
            <w:vAlign w:val="center"/>
          </w:tcPr>
          <w:p w14:paraId="3A33C3AB">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三级指标</w:t>
            </w:r>
          </w:p>
        </w:tc>
        <w:tc>
          <w:tcPr>
            <w:tcW w:w="1110" w:type="dxa"/>
            <w:tcBorders>
              <w:tl2br w:val="nil"/>
              <w:tr2bl w:val="nil"/>
            </w:tcBorders>
            <w:noWrap/>
            <w:vAlign w:val="center"/>
          </w:tcPr>
          <w:p w14:paraId="15F66CFE">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分值</w:t>
            </w:r>
          </w:p>
        </w:tc>
        <w:tc>
          <w:tcPr>
            <w:tcW w:w="1065" w:type="dxa"/>
            <w:tcBorders>
              <w:tl2br w:val="nil"/>
              <w:tr2bl w:val="nil"/>
            </w:tcBorders>
            <w:noWrap/>
            <w:vAlign w:val="center"/>
          </w:tcPr>
          <w:p w14:paraId="4F044931">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得分</w:t>
            </w:r>
          </w:p>
        </w:tc>
      </w:tr>
      <w:tr w14:paraId="567806C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restart"/>
            <w:tcBorders>
              <w:tl2br w:val="nil"/>
              <w:tr2bl w:val="nil"/>
            </w:tcBorders>
            <w:noWrap/>
            <w:vAlign w:val="center"/>
          </w:tcPr>
          <w:p w14:paraId="3ED3DF91">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过程</w:t>
            </w:r>
          </w:p>
        </w:tc>
        <w:tc>
          <w:tcPr>
            <w:tcW w:w="727" w:type="dxa"/>
            <w:vMerge w:val="restart"/>
            <w:tcBorders>
              <w:tl2br w:val="nil"/>
              <w:tr2bl w:val="nil"/>
            </w:tcBorders>
            <w:noWrap/>
            <w:vAlign w:val="center"/>
          </w:tcPr>
          <w:p w14:paraId="68D13D49">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
              </w:rPr>
            </w:pPr>
            <w:r>
              <w:rPr>
                <w:rFonts w:hint="eastAsia" w:ascii="宋体" w:hAnsi="宋体" w:eastAsia="宋体" w:cs="宋体"/>
                <w:color w:val="000000"/>
                <w:kern w:val="0"/>
                <w:sz w:val="24"/>
                <w:szCs w:val="24"/>
                <w:lang w:val="en-US" w:eastAsia="zh-CN"/>
              </w:rPr>
              <w:t>4</w:t>
            </w:r>
            <w:r>
              <w:rPr>
                <w:rFonts w:hint="eastAsia" w:ascii="宋体" w:hAnsi="宋体" w:eastAsia="宋体" w:cs="宋体"/>
                <w:color w:val="000000"/>
                <w:kern w:val="0"/>
                <w:sz w:val="24"/>
                <w:szCs w:val="24"/>
                <w:lang w:val="en-US" w:eastAsia="zh"/>
              </w:rPr>
              <w:t>9</w:t>
            </w:r>
          </w:p>
        </w:tc>
        <w:tc>
          <w:tcPr>
            <w:tcW w:w="1537" w:type="dxa"/>
            <w:vMerge w:val="restart"/>
            <w:tcBorders>
              <w:tl2br w:val="nil"/>
              <w:tr2bl w:val="nil"/>
            </w:tcBorders>
            <w:vAlign w:val="center"/>
          </w:tcPr>
          <w:p w14:paraId="1A84C5FC">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预算执行</w:t>
            </w:r>
          </w:p>
        </w:tc>
        <w:tc>
          <w:tcPr>
            <w:tcW w:w="2910" w:type="dxa"/>
            <w:tcBorders>
              <w:tl2br w:val="nil"/>
              <w:tr2bl w:val="nil"/>
            </w:tcBorders>
            <w:vAlign w:val="center"/>
          </w:tcPr>
          <w:p w14:paraId="2306DF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i w:val="0"/>
                <w:iCs w:val="0"/>
                <w:color w:val="000000"/>
                <w:kern w:val="0"/>
                <w:sz w:val="24"/>
                <w:szCs w:val="24"/>
                <w:u w:val="none"/>
                <w:lang w:val="en-US" w:eastAsia="zh-CN" w:bidi="ar"/>
              </w:rPr>
              <w:t>预算完成率</w:t>
            </w:r>
          </w:p>
        </w:tc>
        <w:tc>
          <w:tcPr>
            <w:tcW w:w="1110" w:type="dxa"/>
            <w:tcBorders>
              <w:tl2br w:val="nil"/>
              <w:tr2bl w:val="nil"/>
            </w:tcBorders>
            <w:vAlign w:val="center"/>
          </w:tcPr>
          <w:p w14:paraId="53D885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eastAsia="zh"/>
              </w:rPr>
            </w:pPr>
            <w:r>
              <w:rPr>
                <w:rFonts w:hint="eastAsia" w:ascii="宋体" w:hAnsi="宋体" w:eastAsia="宋体" w:cs="宋体"/>
                <w:color w:val="000000"/>
                <w:sz w:val="24"/>
                <w:szCs w:val="24"/>
                <w:lang w:eastAsia="zh"/>
              </w:rPr>
              <w:t>11</w:t>
            </w:r>
          </w:p>
        </w:tc>
        <w:tc>
          <w:tcPr>
            <w:tcW w:w="1065" w:type="dxa"/>
            <w:tcBorders>
              <w:tl2br w:val="nil"/>
              <w:tr2bl w:val="nil"/>
            </w:tcBorders>
            <w:noWrap/>
            <w:vAlign w:val="center"/>
          </w:tcPr>
          <w:p w14:paraId="61A65D44">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5</w:t>
            </w:r>
          </w:p>
        </w:tc>
      </w:tr>
      <w:tr w14:paraId="4CAE696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746BE557">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6413A83C">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continue"/>
            <w:tcBorders>
              <w:tl2br w:val="nil"/>
              <w:tr2bl w:val="nil"/>
            </w:tcBorders>
            <w:vAlign w:val="center"/>
          </w:tcPr>
          <w:p w14:paraId="5F659B54">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2910" w:type="dxa"/>
            <w:tcBorders>
              <w:tl2br w:val="nil"/>
              <w:tr2bl w:val="nil"/>
            </w:tcBorders>
            <w:vAlign w:val="center"/>
          </w:tcPr>
          <w:p w14:paraId="53E293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i w:val="0"/>
                <w:iCs w:val="0"/>
                <w:color w:val="000000"/>
                <w:kern w:val="0"/>
                <w:sz w:val="24"/>
                <w:szCs w:val="24"/>
                <w:u w:val="none"/>
                <w:lang w:val="en-US" w:eastAsia="zh-CN" w:bidi="ar"/>
              </w:rPr>
              <w:t>预算调整率</w:t>
            </w:r>
          </w:p>
        </w:tc>
        <w:tc>
          <w:tcPr>
            <w:tcW w:w="1110" w:type="dxa"/>
            <w:tcBorders>
              <w:tl2br w:val="nil"/>
              <w:tr2bl w:val="nil"/>
            </w:tcBorders>
            <w:vAlign w:val="center"/>
          </w:tcPr>
          <w:p w14:paraId="49C27E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i w:val="0"/>
                <w:iCs w:val="0"/>
                <w:color w:val="000000"/>
                <w:kern w:val="0"/>
                <w:sz w:val="24"/>
                <w:szCs w:val="24"/>
                <w:u w:val="none"/>
                <w:lang w:val="en-US" w:eastAsia="zh-CN" w:bidi="ar"/>
              </w:rPr>
              <w:t>2</w:t>
            </w:r>
          </w:p>
        </w:tc>
        <w:tc>
          <w:tcPr>
            <w:tcW w:w="1065" w:type="dxa"/>
            <w:tcBorders>
              <w:tl2br w:val="nil"/>
              <w:tr2bl w:val="nil"/>
            </w:tcBorders>
            <w:noWrap/>
            <w:vAlign w:val="center"/>
          </w:tcPr>
          <w:p w14:paraId="39850D93">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
              </w:rPr>
            </w:pPr>
            <w:r>
              <w:rPr>
                <w:rFonts w:hint="eastAsia" w:ascii="宋体" w:hAnsi="宋体" w:eastAsia="宋体" w:cs="宋体"/>
                <w:color w:val="000000"/>
                <w:sz w:val="24"/>
                <w:szCs w:val="24"/>
                <w:lang w:val="en-US" w:eastAsia="zh"/>
              </w:rPr>
              <w:t>0</w:t>
            </w:r>
          </w:p>
        </w:tc>
      </w:tr>
      <w:tr w14:paraId="30412C3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7D9C8DC9">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11730EBC">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continue"/>
            <w:tcBorders>
              <w:tl2br w:val="nil"/>
              <w:tr2bl w:val="nil"/>
            </w:tcBorders>
            <w:vAlign w:val="center"/>
          </w:tcPr>
          <w:p w14:paraId="1905F463">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2910" w:type="dxa"/>
            <w:tcBorders>
              <w:tl2br w:val="nil"/>
              <w:tr2bl w:val="nil"/>
            </w:tcBorders>
            <w:vAlign w:val="center"/>
          </w:tcPr>
          <w:p w14:paraId="795766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i w:val="0"/>
                <w:iCs w:val="0"/>
                <w:color w:val="000000"/>
                <w:kern w:val="0"/>
                <w:sz w:val="24"/>
                <w:szCs w:val="24"/>
                <w:u w:val="none"/>
                <w:lang w:val="en-US" w:eastAsia="zh-CN" w:bidi="ar"/>
              </w:rPr>
              <w:t>结转结余率</w:t>
            </w:r>
          </w:p>
        </w:tc>
        <w:tc>
          <w:tcPr>
            <w:tcW w:w="1110" w:type="dxa"/>
            <w:tcBorders>
              <w:tl2br w:val="nil"/>
              <w:tr2bl w:val="nil"/>
            </w:tcBorders>
            <w:vAlign w:val="center"/>
          </w:tcPr>
          <w:p w14:paraId="04997D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6</w:t>
            </w:r>
          </w:p>
        </w:tc>
        <w:tc>
          <w:tcPr>
            <w:tcW w:w="1065" w:type="dxa"/>
            <w:tcBorders>
              <w:tl2br w:val="nil"/>
              <w:tr2bl w:val="nil"/>
            </w:tcBorders>
            <w:noWrap/>
            <w:vAlign w:val="center"/>
          </w:tcPr>
          <w:p w14:paraId="70D93BA7">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r>
      <w:tr w14:paraId="61FCCFF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781DD42B">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539A79E2">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continue"/>
            <w:tcBorders>
              <w:tl2br w:val="nil"/>
              <w:tr2bl w:val="nil"/>
            </w:tcBorders>
            <w:vAlign w:val="center"/>
          </w:tcPr>
          <w:p w14:paraId="3677ED48">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CN"/>
              </w:rPr>
            </w:pPr>
          </w:p>
        </w:tc>
        <w:tc>
          <w:tcPr>
            <w:tcW w:w="2910" w:type="dxa"/>
            <w:tcBorders>
              <w:tl2br w:val="nil"/>
              <w:tr2bl w:val="nil"/>
            </w:tcBorders>
            <w:vAlign w:val="center"/>
          </w:tcPr>
          <w:p w14:paraId="26352CC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i w:val="0"/>
                <w:iCs w:val="0"/>
                <w:color w:val="000000"/>
                <w:kern w:val="0"/>
                <w:sz w:val="24"/>
                <w:szCs w:val="24"/>
                <w:u w:val="none"/>
                <w:lang w:val="en-US" w:eastAsia="zh-CN" w:bidi="ar"/>
              </w:rPr>
              <w:t>结转结余变动率</w:t>
            </w:r>
          </w:p>
        </w:tc>
        <w:tc>
          <w:tcPr>
            <w:tcW w:w="1110" w:type="dxa"/>
            <w:tcBorders>
              <w:tl2br w:val="nil"/>
              <w:tr2bl w:val="nil"/>
            </w:tcBorders>
            <w:vAlign w:val="center"/>
          </w:tcPr>
          <w:p w14:paraId="70A8AA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l2br w:val="nil"/>
              <w:tr2bl w:val="nil"/>
            </w:tcBorders>
            <w:noWrap/>
            <w:vAlign w:val="center"/>
          </w:tcPr>
          <w:p w14:paraId="32546EA5">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lang w:val="en-US" w:eastAsia="zh"/>
              </w:rPr>
            </w:pPr>
            <w:r>
              <w:rPr>
                <w:rFonts w:hint="eastAsia" w:ascii="宋体" w:hAnsi="宋体" w:eastAsia="宋体" w:cs="宋体"/>
                <w:color w:val="000000"/>
                <w:kern w:val="0"/>
                <w:sz w:val="24"/>
                <w:szCs w:val="24"/>
                <w:lang w:val="en-US" w:eastAsia="zh"/>
              </w:rPr>
              <w:t>0</w:t>
            </w:r>
          </w:p>
        </w:tc>
      </w:tr>
      <w:tr w14:paraId="552BDD7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753E39D5">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65003FAE">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continue"/>
            <w:tcBorders>
              <w:tl2br w:val="nil"/>
              <w:tr2bl w:val="nil"/>
            </w:tcBorders>
            <w:noWrap/>
            <w:vAlign w:val="center"/>
          </w:tcPr>
          <w:p w14:paraId="6B748191">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p>
        </w:tc>
        <w:tc>
          <w:tcPr>
            <w:tcW w:w="2910" w:type="dxa"/>
            <w:tcBorders>
              <w:tl2br w:val="nil"/>
              <w:tr2bl w:val="nil"/>
            </w:tcBorders>
            <w:noWrap/>
            <w:vAlign w:val="center"/>
          </w:tcPr>
          <w:p w14:paraId="5FF11BE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rPr>
            </w:pPr>
            <w:r>
              <w:rPr>
                <w:rFonts w:hint="eastAsia" w:ascii="宋体" w:hAnsi="宋体" w:eastAsia="宋体" w:cs="宋体"/>
                <w:i w:val="0"/>
                <w:iCs w:val="0"/>
                <w:color w:val="000000"/>
                <w:kern w:val="0"/>
                <w:sz w:val="24"/>
                <w:szCs w:val="24"/>
                <w:u w:val="none"/>
                <w:lang w:val="en-US" w:eastAsia="zh-CN" w:bidi="ar"/>
              </w:rPr>
              <w:t>公用经费控制率</w:t>
            </w:r>
          </w:p>
        </w:tc>
        <w:tc>
          <w:tcPr>
            <w:tcW w:w="1110" w:type="dxa"/>
            <w:tcBorders>
              <w:tl2br w:val="nil"/>
              <w:tr2bl w:val="nil"/>
            </w:tcBorders>
            <w:noWrap/>
            <w:vAlign w:val="center"/>
          </w:tcPr>
          <w:p w14:paraId="1135066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iCs w:val="0"/>
                <w:color w:val="000000"/>
                <w:kern w:val="0"/>
                <w:sz w:val="24"/>
                <w:szCs w:val="24"/>
                <w:u w:val="none"/>
                <w:lang w:val="en-US" w:eastAsia="zh-CN" w:bidi="ar"/>
              </w:rPr>
              <w:t>2</w:t>
            </w:r>
          </w:p>
        </w:tc>
        <w:tc>
          <w:tcPr>
            <w:tcW w:w="1065" w:type="dxa"/>
            <w:tcBorders>
              <w:tl2br w:val="nil"/>
              <w:tr2bl w:val="nil"/>
            </w:tcBorders>
            <w:noWrap/>
            <w:vAlign w:val="center"/>
          </w:tcPr>
          <w:p w14:paraId="38DAB43C">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lang w:val="en-US" w:eastAsia="zh"/>
              </w:rPr>
            </w:pPr>
            <w:r>
              <w:rPr>
                <w:rFonts w:hint="eastAsia" w:ascii="宋体" w:hAnsi="宋体" w:eastAsia="宋体" w:cs="宋体"/>
                <w:color w:val="000000"/>
                <w:kern w:val="0"/>
                <w:sz w:val="24"/>
                <w:szCs w:val="24"/>
                <w:lang w:val="en-US" w:eastAsia="zh"/>
              </w:rPr>
              <w:t>2</w:t>
            </w:r>
          </w:p>
        </w:tc>
      </w:tr>
      <w:tr w14:paraId="1ADF498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2EBCEDD4">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5C8233F3">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continue"/>
            <w:tcBorders>
              <w:tl2br w:val="nil"/>
              <w:tr2bl w:val="nil"/>
            </w:tcBorders>
            <w:noWrap/>
            <w:vAlign w:val="center"/>
          </w:tcPr>
          <w:p w14:paraId="62D394D0">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p>
        </w:tc>
        <w:tc>
          <w:tcPr>
            <w:tcW w:w="2910" w:type="dxa"/>
            <w:tcBorders>
              <w:tl2br w:val="nil"/>
              <w:tr2bl w:val="nil"/>
            </w:tcBorders>
            <w:noWrap/>
            <w:vAlign w:val="center"/>
          </w:tcPr>
          <w:p w14:paraId="5F7D1E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rPr>
            </w:pPr>
            <w:r>
              <w:rPr>
                <w:rFonts w:hint="eastAsia" w:ascii="宋体" w:hAnsi="宋体" w:eastAsia="宋体" w:cs="宋体"/>
                <w:i w:val="0"/>
                <w:iCs w:val="0"/>
                <w:color w:val="000000"/>
                <w:kern w:val="0"/>
                <w:sz w:val="24"/>
                <w:szCs w:val="24"/>
                <w:u w:val="none"/>
                <w:lang w:val="en-US" w:eastAsia="zh-CN" w:bidi="ar"/>
              </w:rPr>
              <w:t>“三公经费”控制率</w:t>
            </w:r>
          </w:p>
        </w:tc>
        <w:tc>
          <w:tcPr>
            <w:tcW w:w="1110" w:type="dxa"/>
            <w:tcBorders>
              <w:tl2br w:val="nil"/>
              <w:tr2bl w:val="nil"/>
            </w:tcBorders>
            <w:noWrap/>
            <w:vAlign w:val="center"/>
          </w:tcPr>
          <w:p w14:paraId="09C7193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iCs w:val="0"/>
                <w:color w:val="000000"/>
                <w:kern w:val="0"/>
                <w:sz w:val="24"/>
                <w:szCs w:val="24"/>
                <w:u w:val="none"/>
                <w:lang w:val="en-US" w:eastAsia="zh-CN" w:bidi="ar"/>
              </w:rPr>
              <w:t>2</w:t>
            </w:r>
          </w:p>
        </w:tc>
        <w:tc>
          <w:tcPr>
            <w:tcW w:w="1065" w:type="dxa"/>
            <w:tcBorders>
              <w:tl2br w:val="nil"/>
              <w:tr2bl w:val="nil"/>
            </w:tcBorders>
            <w:noWrap/>
            <w:vAlign w:val="center"/>
          </w:tcPr>
          <w:p w14:paraId="6E080B7F">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lang w:val="en-US" w:eastAsia="zh"/>
              </w:rPr>
            </w:pPr>
            <w:r>
              <w:rPr>
                <w:rFonts w:hint="eastAsia" w:ascii="宋体" w:hAnsi="宋体" w:eastAsia="宋体" w:cs="宋体"/>
                <w:color w:val="000000"/>
                <w:kern w:val="0"/>
                <w:sz w:val="24"/>
                <w:szCs w:val="24"/>
                <w:lang w:val="en-US" w:eastAsia="zh"/>
              </w:rPr>
              <w:t>2</w:t>
            </w:r>
          </w:p>
        </w:tc>
      </w:tr>
      <w:tr w14:paraId="053F2B0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5A66332D">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3810DAE6">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continue"/>
            <w:tcBorders>
              <w:tl2br w:val="nil"/>
              <w:tr2bl w:val="nil"/>
            </w:tcBorders>
            <w:noWrap/>
            <w:vAlign w:val="center"/>
          </w:tcPr>
          <w:p w14:paraId="177A294D">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p>
        </w:tc>
        <w:tc>
          <w:tcPr>
            <w:tcW w:w="2910" w:type="dxa"/>
            <w:tcBorders>
              <w:tl2br w:val="nil"/>
              <w:tr2bl w:val="nil"/>
            </w:tcBorders>
            <w:noWrap/>
            <w:vAlign w:val="center"/>
          </w:tcPr>
          <w:p w14:paraId="7B3FD82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rPr>
            </w:pPr>
            <w:r>
              <w:rPr>
                <w:rFonts w:hint="eastAsia" w:ascii="宋体" w:hAnsi="宋体" w:eastAsia="宋体" w:cs="宋体"/>
                <w:i w:val="0"/>
                <w:iCs w:val="0"/>
                <w:color w:val="000000"/>
                <w:kern w:val="0"/>
                <w:sz w:val="24"/>
                <w:szCs w:val="24"/>
                <w:u w:val="none"/>
                <w:lang w:val="en-US" w:eastAsia="zh-CN" w:bidi="ar"/>
              </w:rPr>
              <w:t>政府采购执行率</w:t>
            </w:r>
          </w:p>
        </w:tc>
        <w:tc>
          <w:tcPr>
            <w:tcW w:w="1110" w:type="dxa"/>
            <w:tcBorders>
              <w:tl2br w:val="nil"/>
              <w:tr2bl w:val="nil"/>
            </w:tcBorders>
            <w:noWrap/>
            <w:vAlign w:val="center"/>
          </w:tcPr>
          <w:p w14:paraId="0C06842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iCs w:val="0"/>
                <w:color w:val="000000"/>
                <w:kern w:val="0"/>
                <w:sz w:val="24"/>
                <w:szCs w:val="24"/>
                <w:u w:val="none"/>
                <w:lang w:val="en-US" w:eastAsia="zh-CN" w:bidi="ar"/>
              </w:rPr>
              <w:t>3</w:t>
            </w:r>
          </w:p>
        </w:tc>
        <w:tc>
          <w:tcPr>
            <w:tcW w:w="1065" w:type="dxa"/>
            <w:tcBorders>
              <w:tl2br w:val="nil"/>
              <w:tr2bl w:val="nil"/>
            </w:tcBorders>
            <w:noWrap/>
            <w:vAlign w:val="center"/>
          </w:tcPr>
          <w:p w14:paraId="61AF0EC0">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lang w:val="en-US" w:eastAsia="zh"/>
              </w:rPr>
            </w:pPr>
            <w:r>
              <w:rPr>
                <w:rFonts w:hint="eastAsia" w:ascii="宋体" w:hAnsi="宋体" w:eastAsia="宋体" w:cs="宋体"/>
                <w:color w:val="000000"/>
                <w:kern w:val="0"/>
                <w:sz w:val="24"/>
                <w:szCs w:val="24"/>
                <w:lang w:val="en-US" w:eastAsia="zh"/>
              </w:rPr>
              <w:t>0</w:t>
            </w:r>
          </w:p>
        </w:tc>
      </w:tr>
      <w:tr w14:paraId="38F5C41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6EAE27A7">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306E75C9">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restart"/>
            <w:tcBorders>
              <w:tl2br w:val="nil"/>
              <w:tr2bl w:val="nil"/>
            </w:tcBorders>
            <w:noWrap/>
            <w:vAlign w:val="center"/>
          </w:tcPr>
          <w:p w14:paraId="0D626601">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预算管理</w:t>
            </w:r>
          </w:p>
        </w:tc>
        <w:tc>
          <w:tcPr>
            <w:tcW w:w="2910" w:type="dxa"/>
            <w:tcBorders>
              <w:tl2br w:val="nil"/>
              <w:tr2bl w:val="nil"/>
            </w:tcBorders>
            <w:noWrap/>
            <w:vAlign w:val="center"/>
          </w:tcPr>
          <w:p w14:paraId="7F0D83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rPr>
            </w:pPr>
            <w:r>
              <w:rPr>
                <w:rFonts w:hint="eastAsia" w:ascii="宋体" w:hAnsi="宋体" w:eastAsia="宋体" w:cs="宋体"/>
                <w:i w:val="0"/>
                <w:iCs w:val="0"/>
                <w:color w:val="000000"/>
                <w:kern w:val="0"/>
                <w:sz w:val="24"/>
                <w:szCs w:val="24"/>
                <w:u w:val="none"/>
                <w:lang w:val="en-US" w:eastAsia="zh-CN" w:bidi="ar"/>
              </w:rPr>
              <w:t>管理制度健全性</w:t>
            </w:r>
          </w:p>
        </w:tc>
        <w:tc>
          <w:tcPr>
            <w:tcW w:w="1110" w:type="dxa"/>
            <w:tcBorders>
              <w:tl2br w:val="nil"/>
              <w:tr2bl w:val="nil"/>
            </w:tcBorders>
            <w:noWrap/>
            <w:vAlign w:val="center"/>
          </w:tcPr>
          <w:p w14:paraId="6E09C5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iCs w:val="0"/>
                <w:color w:val="000000"/>
                <w:kern w:val="0"/>
                <w:sz w:val="24"/>
                <w:szCs w:val="24"/>
                <w:u w:val="none"/>
                <w:lang w:val="en-US" w:eastAsia="zh-CN" w:bidi="ar"/>
              </w:rPr>
              <w:t>3</w:t>
            </w:r>
          </w:p>
        </w:tc>
        <w:tc>
          <w:tcPr>
            <w:tcW w:w="1065" w:type="dxa"/>
            <w:tcBorders>
              <w:tl2br w:val="nil"/>
              <w:tr2bl w:val="nil"/>
            </w:tcBorders>
            <w:noWrap/>
            <w:vAlign w:val="center"/>
          </w:tcPr>
          <w:p w14:paraId="7AD394CA">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sz w:val="24"/>
                <w:szCs w:val="24"/>
                <w:lang w:val="en-US" w:eastAsia="zh"/>
              </w:rPr>
            </w:pPr>
            <w:r>
              <w:rPr>
                <w:rFonts w:hint="eastAsia" w:ascii="宋体" w:hAnsi="宋体" w:eastAsia="宋体" w:cs="宋体"/>
                <w:b w:val="0"/>
                <w:bCs/>
                <w:sz w:val="24"/>
                <w:szCs w:val="24"/>
                <w:lang w:val="en-US" w:eastAsia="zh"/>
              </w:rPr>
              <w:t>3</w:t>
            </w:r>
          </w:p>
        </w:tc>
      </w:tr>
      <w:tr w14:paraId="6DFC0FD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035BE39E">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1557982F">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continue"/>
            <w:tcBorders>
              <w:tl2br w:val="nil"/>
              <w:tr2bl w:val="nil"/>
            </w:tcBorders>
            <w:noWrap/>
            <w:vAlign w:val="center"/>
          </w:tcPr>
          <w:p w14:paraId="38523109">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p>
        </w:tc>
        <w:tc>
          <w:tcPr>
            <w:tcW w:w="2910" w:type="dxa"/>
            <w:tcBorders>
              <w:tl2br w:val="nil"/>
              <w:tr2bl w:val="nil"/>
            </w:tcBorders>
            <w:noWrap/>
            <w:vAlign w:val="center"/>
          </w:tcPr>
          <w:p w14:paraId="72F4E9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rPr>
            </w:pPr>
            <w:r>
              <w:rPr>
                <w:rFonts w:hint="eastAsia" w:ascii="宋体" w:hAnsi="宋体" w:eastAsia="宋体" w:cs="宋体"/>
                <w:i w:val="0"/>
                <w:iCs w:val="0"/>
                <w:color w:val="000000"/>
                <w:kern w:val="0"/>
                <w:sz w:val="24"/>
                <w:szCs w:val="24"/>
                <w:u w:val="none"/>
                <w:lang w:val="en-US" w:eastAsia="zh-CN" w:bidi="ar"/>
              </w:rPr>
              <w:t>资金使用合规性</w:t>
            </w:r>
          </w:p>
        </w:tc>
        <w:tc>
          <w:tcPr>
            <w:tcW w:w="1110" w:type="dxa"/>
            <w:tcBorders>
              <w:tl2br w:val="nil"/>
              <w:tr2bl w:val="nil"/>
            </w:tcBorders>
            <w:noWrap/>
            <w:vAlign w:val="center"/>
          </w:tcPr>
          <w:p w14:paraId="2B9FA40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iCs w:val="0"/>
                <w:color w:val="000000"/>
                <w:kern w:val="0"/>
                <w:sz w:val="24"/>
                <w:szCs w:val="24"/>
                <w:u w:val="none"/>
                <w:lang w:val="en-US" w:eastAsia="zh-CN" w:bidi="ar"/>
              </w:rPr>
              <w:t>5</w:t>
            </w:r>
          </w:p>
        </w:tc>
        <w:tc>
          <w:tcPr>
            <w:tcW w:w="1065" w:type="dxa"/>
            <w:tcBorders>
              <w:tl2br w:val="nil"/>
              <w:tr2bl w:val="nil"/>
            </w:tcBorders>
            <w:noWrap/>
            <w:vAlign w:val="center"/>
          </w:tcPr>
          <w:p w14:paraId="064D5167">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sz w:val="24"/>
                <w:szCs w:val="24"/>
                <w:lang w:val="en-US" w:eastAsia="zh"/>
              </w:rPr>
            </w:pPr>
            <w:r>
              <w:rPr>
                <w:rFonts w:hint="eastAsia" w:ascii="宋体" w:hAnsi="宋体" w:eastAsia="宋体" w:cs="宋体"/>
                <w:b w:val="0"/>
                <w:bCs/>
                <w:sz w:val="24"/>
                <w:szCs w:val="24"/>
                <w:lang w:val="en-US" w:eastAsia="zh"/>
              </w:rPr>
              <w:t>5</w:t>
            </w:r>
          </w:p>
        </w:tc>
      </w:tr>
      <w:tr w14:paraId="6FC47A6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6FE74F61">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4E457ED8">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continue"/>
            <w:tcBorders>
              <w:tl2br w:val="nil"/>
              <w:tr2bl w:val="nil"/>
            </w:tcBorders>
            <w:noWrap/>
            <w:vAlign w:val="center"/>
          </w:tcPr>
          <w:p w14:paraId="4F561552">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p>
        </w:tc>
        <w:tc>
          <w:tcPr>
            <w:tcW w:w="2910" w:type="dxa"/>
            <w:tcBorders>
              <w:tl2br w:val="nil"/>
              <w:tr2bl w:val="nil"/>
            </w:tcBorders>
            <w:noWrap/>
            <w:vAlign w:val="center"/>
          </w:tcPr>
          <w:p w14:paraId="2536E6B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rPr>
            </w:pPr>
            <w:r>
              <w:rPr>
                <w:rFonts w:hint="eastAsia" w:ascii="宋体" w:hAnsi="宋体" w:eastAsia="宋体" w:cs="宋体"/>
                <w:i w:val="0"/>
                <w:iCs w:val="0"/>
                <w:color w:val="000000"/>
                <w:kern w:val="0"/>
                <w:sz w:val="24"/>
                <w:szCs w:val="24"/>
                <w:u w:val="none"/>
                <w:lang w:val="en-US" w:eastAsia="zh-CN" w:bidi="ar"/>
              </w:rPr>
              <w:t>预决算信息公开性</w:t>
            </w:r>
          </w:p>
        </w:tc>
        <w:tc>
          <w:tcPr>
            <w:tcW w:w="1110" w:type="dxa"/>
            <w:tcBorders>
              <w:tl2br w:val="nil"/>
              <w:tr2bl w:val="nil"/>
            </w:tcBorders>
            <w:noWrap/>
            <w:vAlign w:val="center"/>
          </w:tcPr>
          <w:p w14:paraId="4DF9E8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iCs w:val="0"/>
                <w:color w:val="000000"/>
                <w:kern w:val="0"/>
                <w:sz w:val="24"/>
                <w:szCs w:val="24"/>
                <w:u w:val="none"/>
                <w:lang w:val="en-US" w:eastAsia="zh-CN" w:bidi="ar"/>
              </w:rPr>
              <w:t>2</w:t>
            </w:r>
          </w:p>
        </w:tc>
        <w:tc>
          <w:tcPr>
            <w:tcW w:w="1065" w:type="dxa"/>
            <w:tcBorders>
              <w:tl2br w:val="nil"/>
              <w:tr2bl w:val="nil"/>
            </w:tcBorders>
            <w:noWrap/>
            <w:vAlign w:val="center"/>
          </w:tcPr>
          <w:p w14:paraId="15740418">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sz w:val="24"/>
                <w:szCs w:val="24"/>
                <w:lang w:val="en-US" w:eastAsia="zh"/>
              </w:rPr>
            </w:pPr>
            <w:r>
              <w:rPr>
                <w:rFonts w:hint="eastAsia" w:ascii="宋体" w:hAnsi="宋体" w:eastAsia="宋体" w:cs="宋体"/>
                <w:b w:val="0"/>
                <w:bCs/>
                <w:sz w:val="24"/>
                <w:szCs w:val="24"/>
                <w:lang w:val="en-US" w:eastAsia="zh"/>
              </w:rPr>
              <w:t>2</w:t>
            </w:r>
          </w:p>
        </w:tc>
      </w:tr>
      <w:tr w14:paraId="763CB99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4CD29767">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2CEF06A2">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continue"/>
            <w:tcBorders>
              <w:tl2br w:val="nil"/>
              <w:tr2bl w:val="nil"/>
            </w:tcBorders>
            <w:noWrap/>
            <w:vAlign w:val="center"/>
          </w:tcPr>
          <w:p w14:paraId="3FFF67E2">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p>
        </w:tc>
        <w:tc>
          <w:tcPr>
            <w:tcW w:w="2910" w:type="dxa"/>
            <w:tcBorders>
              <w:tl2br w:val="nil"/>
              <w:tr2bl w:val="nil"/>
            </w:tcBorders>
            <w:noWrap/>
            <w:vAlign w:val="center"/>
          </w:tcPr>
          <w:p w14:paraId="6217F6C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rPr>
            </w:pPr>
            <w:r>
              <w:rPr>
                <w:rFonts w:hint="eastAsia" w:ascii="宋体" w:hAnsi="宋体" w:eastAsia="宋体" w:cs="宋体"/>
                <w:i w:val="0"/>
                <w:iCs w:val="0"/>
                <w:color w:val="000000"/>
                <w:kern w:val="0"/>
                <w:sz w:val="24"/>
                <w:szCs w:val="24"/>
                <w:u w:val="none"/>
                <w:lang w:val="en-US" w:eastAsia="zh-CN" w:bidi="ar"/>
              </w:rPr>
              <w:t>基础信息完善性</w:t>
            </w:r>
          </w:p>
        </w:tc>
        <w:tc>
          <w:tcPr>
            <w:tcW w:w="1110" w:type="dxa"/>
            <w:tcBorders>
              <w:tl2br w:val="nil"/>
              <w:tr2bl w:val="nil"/>
            </w:tcBorders>
            <w:noWrap/>
            <w:vAlign w:val="center"/>
          </w:tcPr>
          <w:p w14:paraId="17962CC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i w:val="0"/>
                <w:iCs w:val="0"/>
                <w:color w:val="000000"/>
                <w:kern w:val="0"/>
                <w:sz w:val="24"/>
                <w:szCs w:val="24"/>
                <w:u w:val="none"/>
                <w:lang w:val="en-US" w:eastAsia="zh-CN" w:bidi="ar"/>
              </w:rPr>
              <w:t>2</w:t>
            </w:r>
          </w:p>
        </w:tc>
        <w:tc>
          <w:tcPr>
            <w:tcW w:w="1065" w:type="dxa"/>
            <w:tcBorders>
              <w:tl2br w:val="nil"/>
              <w:tr2bl w:val="nil"/>
            </w:tcBorders>
            <w:noWrap/>
            <w:vAlign w:val="center"/>
          </w:tcPr>
          <w:p w14:paraId="67D582F1">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sz w:val="24"/>
                <w:szCs w:val="24"/>
                <w:lang w:val="en-US" w:eastAsia="zh"/>
              </w:rPr>
            </w:pPr>
            <w:r>
              <w:rPr>
                <w:rFonts w:hint="eastAsia" w:ascii="宋体" w:hAnsi="宋体" w:eastAsia="宋体" w:cs="宋体"/>
                <w:b w:val="0"/>
                <w:bCs/>
                <w:sz w:val="24"/>
                <w:szCs w:val="24"/>
                <w:lang w:val="en-US" w:eastAsia="zh"/>
              </w:rPr>
              <w:t>2</w:t>
            </w:r>
          </w:p>
        </w:tc>
      </w:tr>
      <w:tr w14:paraId="67D2ECD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68985E94">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641DF60C">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restart"/>
            <w:tcBorders>
              <w:tl2br w:val="nil"/>
              <w:tr2bl w:val="nil"/>
            </w:tcBorders>
            <w:noWrap/>
            <w:vAlign w:val="center"/>
          </w:tcPr>
          <w:p w14:paraId="4A5BF6A3">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资产管理</w:t>
            </w:r>
          </w:p>
        </w:tc>
        <w:tc>
          <w:tcPr>
            <w:tcW w:w="2910" w:type="dxa"/>
            <w:tcBorders>
              <w:tl2br w:val="nil"/>
              <w:tr2bl w:val="nil"/>
            </w:tcBorders>
            <w:noWrap/>
            <w:vAlign w:val="center"/>
          </w:tcPr>
          <w:p w14:paraId="0D54E5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管理制度健全性</w:t>
            </w:r>
          </w:p>
        </w:tc>
        <w:tc>
          <w:tcPr>
            <w:tcW w:w="1110" w:type="dxa"/>
            <w:tcBorders>
              <w:tl2br w:val="nil"/>
              <w:tr2bl w:val="nil"/>
            </w:tcBorders>
            <w:noWrap/>
            <w:vAlign w:val="center"/>
          </w:tcPr>
          <w:p w14:paraId="01FD379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1065" w:type="dxa"/>
            <w:tcBorders>
              <w:tl2br w:val="nil"/>
              <w:tr2bl w:val="nil"/>
            </w:tcBorders>
            <w:noWrap/>
            <w:vAlign w:val="center"/>
          </w:tcPr>
          <w:p w14:paraId="392FCE36">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sz w:val="24"/>
                <w:szCs w:val="24"/>
                <w:lang w:val="en-US" w:eastAsia="zh"/>
              </w:rPr>
            </w:pPr>
            <w:r>
              <w:rPr>
                <w:rFonts w:hint="eastAsia" w:ascii="宋体" w:hAnsi="宋体" w:eastAsia="宋体" w:cs="宋体"/>
                <w:b w:val="0"/>
                <w:bCs/>
                <w:sz w:val="24"/>
                <w:szCs w:val="24"/>
                <w:lang w:val="en-US" w:eastAsia="zh"/>
              </w:rPr>
              <w:t>3</w:t>
            </w:r>
          </w:p>
        </w:tc>
      </w:tr>
      <w:tr w14:paraId="18B1F78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569265A3">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659CFF65">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continue"/>
            <w:tcBorders>
              <w:tl2br w:val="nil"/>
              <w:tr2bl w:val="nil"/>
            </w:tcBorders>
            <w:noWrap/>
            <w:vAlign w:val="center"/>
          </w:tcPr>
          <w:p w14:paraId="057966AB">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p>
        </w:tc>
        <w:tc>
          <w:tcPr>
            <w:tcW w:w="2910" w:type="dxa"/>
            <w:tcBorders>
              <w:tl2br w:val="nil"/>
              <w:tr2bl w:val="nil"/>
            </w:tcBorders>
            <w:noWrap/>
            <w:vAlign w:val="center"/>
          </w:tcPr>
          <w:p w14:paraId="3387B25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资产管理安全性</w:t>
            </w:r>
          </w:p>
        </w:tc>
        <w:tc>
          <w:tcPr>
            <w:tcW w:w="1110" w:type="dxa"/>
            <w:tcBorders>
              <w:tl2br w:val="nil"/>
              <w:tr2bl w:val="nil"/>
            </w:tcBorders>
            <w:noWrap/>
            <w:vAlign w:val="center"/>
          </w:tcPr>
          <w:p w14:paraId="7E4699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1065" w:type="dxa"/>
            <w:tcBorders>
              <w:tl2br w:val="nil"/>
              <w:tr2bl w:val="nil"/>
            </w:tcBorders>
            <w:noWrap/>
            <w:vAlign w:val="center"/>
          </w:tcPr>
          <w:p w14:paraId="2DA86DD0">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sz w:val="24"/>
                <w:szCs w:val="24"/>
                <w:lang w:val="en-US" w:eastAsia="zh"/>
              </w:rPr>
            </w:pPr>
            <w:r>
              <w:rPr>
                <w:rFonts w:hint="eastAsia" w:ascii="宋体" w:hAnsi="宋体" w:eastAsia="宋体" w:cs="宋体"/>
                <w:b w:val="0"/>
                <w:bCs/>
                <w:sz w:val="24"/>
                <w:szCs w:val="24"/>
                <w:lang w:val="en-US" w:eastAsia="zh"/>
              </w:rPr>
              <w:t>5</w:t>
            </w:r>
          </w:p>
        </w:tc>
      </w:tr>
      <w:tr w14:paraId="1D6154E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62082716">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129CE640">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537" w:type="dxa"/>
            <w:vMerge w:val="continue"/>
            <w:tcBorders>
              <w:tl2br w:val="nil"/>
              <w:tr2bl w:val="nil"/>
            </w:tcBorders>
            <w:noWrap/>
            <w:vAlign w:val="center"/>
          </w:tcPr>
          <w:p w14:paraId="540F1D64">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p>
        </w:tc>
        <w:tc>
          <w:tcPr>
            <w:tcW w:w="2910" w:type="dxa"/>
            <w:tcBorders>
              <w:tl2br w:val="nil"/>
              <w:tr2bl w:val="nil"/>
            </w:tcBorders>
            <w:noWrap/>
            <w:vAlign w:val="center"/>
          </w:tcPr>
          <w:p w14:paraId="1FDF6A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固定资产利用率</w:t>
            </w:r>
          </w:p>
        </w:tc>
        <w:tc>
          <w:tcPr>
            <w:tcW w:w="1110" w:type="dxa"/>
            <w:tcBorders>
              <w:tl2br w:val="nil"/>
              <w:tr2bl w:val="nil"/>
            </w:tcBorders>
            <w:noWrap/>
            <w:vAlign w:val="center"/>
          </w:tcPr>
          <w:p w14:paraId="1090CC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1065" w:type="dxa"/>
            <w:tcBorders>
              <w:tl2br w:val="nil"/>
              <w:tr2bl w:val="nil"/>
            </w:tcBorders>
            <w:noWrap/>
            <w:vAlign w:val="center"/>
          </w:tcPr>
          <w:p w14:paraId="658A25A4">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sz w:val="24"/>
                <w:szCs w:val="24"/>
                <w:lang w:val="en-US" w:eastAsia="zh"/>
              </w:rPr>
            </w:pPr>
            <w:r>
              <w:rPr>
                <w:rFonts w:hint="eastAsia" w:ascii="宋体" w:hAnsi="宋体" w:eastAsia="宋体" w:cs="宋体"/>
                <w:b w:val="0"/>
                <w:bCs/>
                <w:sz w:val="24"/>
                <w:szCs w:val="24"/>
                <w:lang w:val="en-US" w:eastAsia="zh"/>
              </w:rPr>
              <w:t>2</w:t>
            </w:r>
          </w:p>
        </w:tc>
      </w:tr>
      <w:tr w14:paraId="5F43E9C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jc w:val="center"/>
        </w:trPr>
        <w:tc>
          <w:tcPr>
            <w:tcW w:w="1246" w:type="dxa"/>
            <w:vMerge w:val="continue"/>
            <w:tcBorders>
              <w:tl2br w:val="nil"/>
              <w:tr2bl w:val="nil"/>
            </w:tcBorders>
            <w:noWrap/>
            <w:vAlign w:val="center"/>
          </w:tcPr>
          <w:p w14:paraId="179030A8">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27" w:type="dxa"/>
            <w:vMerge w:val="continue"/>
            <w:tcBorders>
              <w:tl2br w:val="nil"/>
              <w:tr2bl w:val="nil"/>
            </w:tcBorders>
            <w:noWrap/>
            <w:vAlign w:val="center"/>
          </w:tcPr>
          <w:p w14:paraId="582DCC7D">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4447" w:type="dxa"/>
            <w:gridSpan w:val="2"/>
            <w:tcBorders>
              <w:tl2br w:val="nil"/>
              <w:tr2bl w:val="nil"/>
            </w:tcBorders>
            <w:noWrap/>
            <w:vAlign w:val="center"/>
          </w:tcPr>
          <w:p w14:paraId="736F0D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合计</w:t>
            </w:r>
          </w:p>
        </w:tc>
        <w:tc>
          <w:tcPr>
            <w:tcW w:w="1110" w:type="dxa"/>
            <w:tcBorders>
              <w:tl2br w:val="nil"/>
              <w:tr2bl w:val="nil"/>
            </w:tcBorders>
            <w:noWrap/>
            <w:vAlign w:val="center"/>
          </w:tcPr>
          <w:p w14:paraId="42DF67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b/>
                <w:bCs/>
                <w:i w:val="0"/>
                <w:iCs w:val="0"/>
                <w:color w:val="000000"/>
                <w:kern w:val="0"/>
                <w:sz w:val="24"/>
                <w:szCs w:val="24"/>
                <w:u w:val="none"/>
                <w:lang w:val="en-US" w:eastAsia="zh" w:bidi="ar"/>
              </w:rPr>
            </w:pPr>
            <w:r>
              <w:rPr>
                <w:rFonts w:hint="eastAsia" w:ascii="宋体" w:hAnsi="宋体" w:eastAsia="宋体" w:cs="宋体"/>
                <w:b/>
                <w:bCs/>
                <w:i w:val="0"/>
                <w:iCs w:val="0"/>
                <w:color w:val="000000"/>
                <w:kern w:val="0"/>
                <w:sz w:val="24"/>
                <w:szCs w:val="24"/>
                <w:u w:val="none"/>
                <w:lang w:val="en-US" w:eastAsia="zh" w:bidi="ar"/>
              </w:rPr>
              <w:t>49</w:t>
            </w:r>
          </w:p>
        </w:tc>
        <w:tc>
          <w:tcPr>
            <w:tcW w:w="1065" w:type="dxa"/>
            <w:tcBorders>
              <w:tl2br w:val="nil"/>
              <w:tr2bl w:val="nil"/>
            </w:tcBorders>
            <w:noWrap/>
            <w:vAlign w:val="center"/>
          </w:tcPr>
          <w:p w14:paraId="6CEF6F23">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33</w:t>
            </w:r>
          </w:p>
        </w:tc>
      </w:tr>
    </w:tbl>
    <w:p w14:paraId="3D973163">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1.预算执行情况</w:t>
      </w:r>
    </w:p>
    <w:p w14:paraId="54937508">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（1）预算完成率</w:t>
      </w:r>
    </w:p>
    <w:p w14:paraId="14155FFD">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市公安局全年预算数29,158.60万元，预算完成数</w:t>
      </w:r>
      <w:r>
        <w:rPr>
          <w:rFonts w:hint="eastAsia" w:ascii="宋体" w:hAnsi="宋体" w:eastAsia="宋体" w:cs="宋体"/>
          <w:color w:val="000000"/>
          <w:kern w:val="2"/>
          <w:sz w:val="24"/>
          <w:szCs w:val="24"/>
          <w:lang w:val="en-US" w:eastAsia="zh" w:bidi="ar-SA"/>
        </w:rPr>
        <w:t>2</w:t>
      </w:r>
      <w:r>
        <w:rPr>
          <w:rFonts w:hint="eastAsia" w:eastAsia="宋体" w:cs="宋体"/>
          <w:color w:val="000000"/>
          <w:kern w:val="2"/>
          <w:sz w:val="24"/>
          <w:szCs w:val="24"/>
          <w:lang w:val="en-US" w:eastAsia="zh-CN" w:bidi="ar-SA"/>
        </w:rPr>
        <w:t>3,116.02</w:t>
      </w:r>
      <w:r>
        <w:rPr>
          <w:rFonts w:hint="eastAsia" w:eastAsia="宋体" w:cs="宋体"/>
          <w:color w:val="000000"/>
          <w:kern w:val="2"/>
          <w:sz w:val="24"/>
          <w:szCs w:val="24"/>
          <w:lang w:val="en-US" w:eastAsia="zh" w:bidi="ar-SA"/>
        </w:rPr>
        <w:t>万元，完成率为79.</w:t>
      </w:r>
      <w:r>
        <w:rPr>
          <w:rFonts w:hint="eastAsia" w:eastAsia="宋体" w:cs="宋体"/>
          <w:color w:val="000000"/>
          <w:kern w:val="2"/>
          <w:sz w:val="24"/>
          <w:szCs w:val="24"/>
          <w:lang w:val="en-US" w:eastAsia="zh-CN" w:bidi="ar-SA"/>
        </w:rPr>
        <w:t>27</w:t>
      </w:r>
      <w:r>
        <w:rPr>
          <w:rFonts w:hint="eastAsia" w:eastAsia="宋体" w:cs="宋体"/>
          <w:color w:val="000000"/>
          <w:kern w:val="2"/>
          <w:sz w:val="24"/>
          <w:szCs w:val="24"/>
          <w:lang w:val="en-US" w:eastAsia="zh" w:bidi="ar-SA"/>
        </w:rPr>
        <w:t>%，本项满分11分，扣</w:t>
      </w:r>
      <w:r>
        <w:rPr>
          <w:rFonts w:hint="eastAsia" w:eastAsia="宋体" w:cs="宋体"/>
          <w:color w:val="000000"/>
          <w:kern w:val="2"/>
          <w:sz w:val="24"/>
          <w:szCs w:val="24"/>
          <w:lang w:val="en-US" w:eastAsia="zh-CN" w:bidi="ar-SA"/>
        </w:rPr>
        <w:t>6</w:t>
      </w:r>
      <w:r>
        <w:rPr>
          <w:rFonts w:hint="eastAsia" w:eastAsia="宋体" w:cs="宋体"/>
          <w:color w:val="000000"/>
          <w:kern w:val="2"/>
          <w:sz w:val="24"/>
          <w:szCs w:val="24"/>
          <w:lang w:val="en-US" w:eastAsia="zh" w:bidi="ar-SA"/>
        </w:rPr>
        <w:t>分，得</w:t>
      </w:r>
      <w:r>
        <w:rPr>
          <w:rFonts w:hint="eastAsia" w:eastAsia="宋体" w:cs="宋体"/>
          <w:color w:val="000000"/>
          <w:kern w:val="2"/>
          <w:sz w:val="24"/>
          <w:szCs w:val="24"/>
          <w:lang w:val="en-US" w:eastAsia="zh-CN" w:bidi="ar-SA"/>
        </w:rPr>
        <w:t>5</w:t>
      </w:r>
      <w:r>
        <w:rPr>
          <w:rFonts w:hint="eastAsia" w:eastAsia="宋体" w:cs="宋体"/>
          <w:color w:val="000000"/>
          <w:kern w:val="2"/>
          <w:sz w:val="24"/>
          <w:szCs w:val="24"/>
          <w:lang w:val="en-US" w:eastAsia="zh" w:bidi="ar-SA"/>
        </w:rPr>
        <w:t>分。</w:t>
      </w:r>
    </w:p>
    <w:p w14:paraId="653025CA">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（2）预算调整率</w:t>
      </w:r>
    </w:p>
    <w:p w14:paraId="3BDE9363">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w:t>
      </w:r>
      <w:r>
        <w:rPr>
          <w:rFonts w:hint="eastAsia" w:eastAsia="宋体" w:cs="宋体"/>
          <w:color w:val="000000"/>
          <w:kern w:val="2"/>
          <w:sz w:val="24"/>
          <w:szCs w:val="24"/>
          <w:lang w:val="en-US" w:eastAsia="zh-CN" w:bidi="ar-SA"/>
        </w:rPr>
        <w:t>2023年</w:t>
      </w:r>
      <w:r>
        <w:rPr>
          <w:rFonts w:hint="eastAsia" w:eastAsia="宋体" w:cs="宋体"/>
          <w:color w:val="000000"/>
          <w:kern w:val="2"/>
          <w:sz w:val="24"/>
          <w:szCs w:val="24"/>
          <w:lang w:val="en-US" w:eastAsia="zh" w:bidi="ar-SA"/>
        </w:rPr>
        <w:t>年初预算数15</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382.99万元，全年预算数29,158.60万元，</w:t>
      </w:r>
      <w:r>
        <w:rPr>
          <w:rFonts w:hint="eastAsia" w:ascii="宋体" w:hAnsi="宋体" w:eastAsia="宋体" w:cs="宋体"/>
          <w:color w:val="000000"/>
          <w:kern w:val="2"/>
          <w:sz w:val="24"/>
          <w:szCs w:val="24"/>
          <w:lang w:val="en-US" w:eastAsia="zh-CN" w:bidi="ar-SA"/>
        </w:rPr>
        <w:t>当年</w:t>
      </w:r>
      <w:r>
        <w:rPr>
          <w:rFonts w:hint="eastAsia" w:ascii="宋体" w:hAnsi="宋体" w:eastAsia="宋体" w:cs="宋体"/>
          <w:color w:val="000000"/>
          <w:kern w:val="2"/>
          <w:sz w:val="24"/>
          <w:szCs w:val="24"/>
          <w:lang w:val="en-US" w:eastAsia="zh" w:bidi="ar-SA"/>
        </w:rPr>
        <w:t>调剂</w:t>
      </w:r>
      <w:r>
        <w:rPr>
          <w:rFonts w:hint="eastAsia" w:ascii="宋体" w:hAnsi="宋体" w:eastAsia="宋体" w:cs="宋体"/>
          <w:color w:val="000000"/>
          <w:kern w:val="2"/>
          <w:sz w:val="24"/>
          <w:szCs w:val="24"/>
          <w:lang w:val="en-US" w:eastAsia="zh-CN" w:bidi="ar-SA"/>
        </w:rPr>
        <w:t>预算指标</w:t>
      </w:r>
      <w:r>
        <w:rPr>
          <w:rFonts w:hint="eastAsia" w:eastAsia="宋体" w:cs="宋体"/>
          <w:color w:val="000000"/>
          <w:kern w:val="2"/>
          <w:sz w:val="24"/>
          <w:szCs w:val="24"/>
          <w:lang w:val="en-US" w:eastAsia="zh" w:bidi="ar-SA"/>
        </w:rPr>
        <w:t>13,775.61万元，调整率为89.55%，本项满分2分，扣2分，得0分。</w:t>
      </w:r>
    </w:p>
    <w:p w14:paraId="286B3197">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（3</w:t>
      </w:r>
      <w:r>
        <w:rPr>
          <w:rFonts w:hint="eastAsia" w:eastAsia="宋体" w:cs="宋体"/>
          <w:b/>
          <w:bCs/>
          <w:color w:val="000000"/>
          <w:kern w:val="2"/>
          <w:sz w:val="24"/>
          <w:szCs w:val="24"/>
          <w:lang w:val="en-US" w:eastAsia="zh-CN" w:bidi="ar-SA"/>
        </w:rPr>
        <w:t>）</w:t>
      </w:r>
      <w:r>
        <w:rPr>
          <w:rFonts w:hint="eastAsia" w:ascii="宋体" w:hAnsi="宋体" w:eastAsia="宋体" w:cs="宋体"/>
          <w:b/>
          <w:bCs/>
          <w:color w:val="000000"/>
          <w:kern w:val="2"/>
          <w:sz w:val="24"/>
          <w:szCs w:val="24"/>
          <w:lang w:val="en-US" w:eastAsia="zh-CN" w:bidi="ar-SA"/>
        </w:rPr>
        <w:t>结转结余率</w:t>
      </w:r>
    </w:p>
    <w:p w14:paraId="0BF4F9DB">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highlight w:val="none"/>
          <w:lang w:val="en-US" w:eastAsia="zh" w:bidi="ar-SA"/>
        </w:rPr>
        <w:t>市公安局</w:t>
      </w:r>
      <w:r>
        <w:rPr>
          <w:rFonts w:hint="eastAsia" w:eastAsia="宋体" w:cs="宋体"/>
          <w:color w:val="000000"/>
          <w:kern w:val="2"/>
          <w:sz w:val="24"/>
          <w:szCs w:val="24"/>
          <w:highlight w:val="none"/>
          <w:lang w:val="en-US" w:eastAsia="zh-CN" w:bidi="ar-SA"/>
        </w:rPr>
        <w:t>2023年度项目结转6,042.58万元</w:t>
      </w:r>
      <w:r>
        <w:rPr>
          <w:rFonts w:hint="eastAsia" w:eastAsia="宋体" w:cs="宋体"/>
          <w:color w:val="000000"/>
          <w:kern w:val="2"/>
          <w:sz w:val="24"/>
          <w:szCs w:val="24"/>
          <w:highlight w:val="none"/>
          <w:lang w:val="en-US" w:eastAsia="zh" w:bidi="ar-SA"/>
        </w:rPr>
        <w:t>，</w:t>
      </w:r>
      <w:r>
        <w:rPr>
          <w:rFonts w:hint="eastAsia" w:eastAsia="宋体" w:cs="宋体"/>
          <w:color w:val="000000"/>
          <w:kern w:val="2"/>
          <w:sz w:val="24"/>
          <w:szCs w:val="24"/>
          <w:highlight w:val="none"/>
          <w:lang w:val="en-US" w:eastAsia="zh-CN" w:bidi="ar-SA"/>
        </w:rPr>
        <w:t>支出预算数为</w:t>
      </w:r>
      <w:r>
        <w:rPr>
          <w:rFonts w:hint="eastAsia" w:eastAsia="宋体" w:cs="宋体"/>
          <w:color w:val="000000"/>
          <w:kern w:val="2"/>
          <w:sz w:val="24"/>
          <w:szCs w:val="24"/>
          <w:lang w:val="en-US" w:eastAsia="zh" w:bidi="ar-SA"/>
        </w:rPr>
        <w:t>29,158.60</w:t>
      </w:r>
      <w:r>
        <w:rPr>
          <w:rFonts w:hint="eastAsia" w:eastAsia="宋体" w:cs="宋体"/>
          <w:color w:val="000000"/>
          <w:kern w:val="2"/>
          <w:sz w:val="24"/>
          <w:szCs w:val="24"/>
          <w:lang w:val="en-US" w:eastAsia="zh-CN" w:bidi="ar-SA"/>
        </w:rPr>
        <w:t>万元，</w:t>
      </w:r>
      <w:r>
        <w:rPr>
          <w:rFonts w:hint="eastAsia" w:ascii="宋体" w:hAnsi="宋体" w:eastAsia="宋体" w:cs="宋体"/>
          <w:color w:val="000000"/>
          <w:kern w:val="2"/>
          <w:sz w:val="24"/>
          <w:szCs w:val="24"/>
          <w:highlight w:val="none"/>
          <w:lang w:val="en-US" w:eastAsia="zh" w:bidi="ar-SA"/>
        </w:rPr>
        <w:t>根据关于下达2023年预算调减资金通知</w:t>
      </w:r>
      <w:r>
        <w:rPr>
          <w:rFonts w:hint="eastAsia" w:eastAsia="宋体" w:cs="宋体"/>
          <w:color w:val="000000"/>
          <w:kern w:val="2"/>
          <w:sz w:val="24"/>
          <w:szCs w:val="24"/>
          <w:highlight w:val="none"/>
          <w:lang w:val="en-US" w:eastAsia="zh-CN" w:bidi="ar-SA"/>
        </w:rPr>
        <w:t>（</w:t>
      </w:r>
      <w:r>
        <w:rPr>
          <w:rFonts w:hint="eastAsia" w:ascii="宋体" w:hAnsi="宋体" w:eastAsia="宋体" w:cs="宋体"/>
          <w:color w:val="000000"/>
          <w:kern w:val="2"/>
          <w:sz w:val="24"/>
          <w:szCs w:val="24"/>
          <w:highlight w:val="none"/>
          <w:lang w:val="en-US" w:eastAsia="zh" w:bidi="ar-SA"/>
        </w:rPr>
        <w:t>林财行指〔2023〕12</w:t>
      </w:r>
      <w:r>
        <w:rPr>
          <w:rFonts w:hint="eastAsia" w:eastAsia="宋体" w:cs="宋体"/>
          <w:color w:val="000000"/>
          <w:kern w:val="2"/>
          <w:sz w:val="24"/>
          <w:szCs w:val="24"/>
          <w:highlight w:val="none"/>
          <w:lang w:val="en-US" w:eastAsia="zh-CN" w:bidi="ar-SA"/>
        </w:rPr>
        <w:t>9</w:t>
      </w:r>
      <w:r>
        <w:rPr>
          <w:rFonts w:hint="eastAsia" w:ascii="宋体" w:hAnsi="宋体" w:eastAsia="宋体" w:cs="宋体"/>
          <w:color w:val="000000"/>
          <w:kern w:val="2"/>
          <w:sz w:val="24"/>
          <w:szCs w:val="24"/>
          <w:highlight w:val="none"/>
          <w:lang w:val="en-US" w:eastAsia="zh" w:bidi="ar-SA"/>
        </w:rPr>
        <w:t>号</w:t>
      </w:r>
      <w:r>
        <w:rPr>
          <w:rFonts w:hint="eastAsia" w:eastAsia="宋体" w:cs="宋体"/>
          <w:color w:val="000000"/>
          <w:kern w:val="2"/>
          <w:sz w:val="24"/>
          <w:szCs w:val="24"/>
          <w:highlight w:val="none"/>
          <w:lang w:val="en-US" w:eastAsia="zh-CN" w:bidi="ar-SA"/>
        </w:rPr>
        <w:t>）</w:t>
      </w:r>
      <w:r>
        <w:rPr>
          <w:rFonts w:hint="eastAsia" w:ascii="宋体" w:hAnsi="宋体" w:eastAsia="宋体" w:cs="宋体"/>
          <w:color w:val="000000"/>
          <w:kern w:val="2"/>
          <w:sz w:val="24"/>
          <w:szCs w:val="24"/>
          <w:highlight w:val="none"/>
          <w:lang w:val="en-US" w:eastAsia="zh" w:bidi="ar-SA"/>
        </w:rPr>
        <w:t>结转资金全部收回。结余资金用于补充预算周转金和下年度需要安排的预算支出，结转资金用于上年度结转项目的支出。</w:t>
      </w:r>
      <w:r>
        <w:rPr>
          <w:rFonts w:hint="eastAsia" w:eastAsia="宋体" w:cs="宋体"/>
          <w:color w:val="000000"/>
          <w:kern w:val="2"/>
          <w:sz w:val="24"/>
          <w:szCs w:val="24"/>
          <w:highlight w:val="none"/>
          <w:lang w:val="en-US" w:eastAsia="zh-CN" w:bidi="ar-SA"/>
        </w:rPr>
        <w:t>结转结余率为20.72%。</w:t>
      </w:r>
      <w:r>
        <w:rPr>
          <w:rFonts w:hint="eastAsia" w:eastAsia="宋体" w:cs="宋体"/>
          <w:color w:val="000000"/>
          <w:kern w:val="2"/>
          <w:sz w:val="24"/>
          <w:szCs w:val="24"/>
          <w:lang w:val="en-US" w:eastAsia="zh" w:bidi="ar-SA"/>
        </w:rPr>
        <w:t>本项满分</w:t>
      </w:r>
      <w:r>
        <w:rPr>
          <w:rFonts w:hint="eastAsia" w:eastAsia="宋体" w:cs="宋体"/>
          <w:color w:val="000000"/>
          <w:kern w:val="2"/>
          <w:sz w:val="24"/>
          <w:szCs w:val="24"/>
          <w:lang w:val="en-US" w:eastAsia="zh-CN" w:bidi="ar-SA"/>
        </w:rPr>
        <w:t>6</w:t>
      </w:r>
      <w:r>
        <w:rPr>
          <w:rFonts w:hint="eastAsia" w:eastAsia="宋体" w:cs="宋体"/>
          <w:color w:val="000000"/>
          <w:kern w:val="2"/>
          <w:sz w:val="24"/>
          <w:szCs w:val="24"/>
          <w:lang w:val="en-US" w:eastAsia="zh" w:bidi="ar-SA"/>
        </w:rPr>
        <w:t>分，</w:t>
      </w:r>
      <w:r>
        <w:rPr>
          <w:rFonts w:hint="eastAsia" w:eastAsia="宋体" w:cs="宋体"/>
          <w:color w:val="000000"/>
          <w:kern w:val="2"/>
          <w:sz w:val="24"/>
          <w:szCs w:val="24"/>
          <w:lang w:val="en-US" w:eastAsia="zh-CN" w:bidi="ar-SA"/>
        </w:rPr>
        <w:t>扣4分，</w:t>
      </w:r>
      <w:r>
        <w:rPr>
          <w:rFonts w:hint="eastAsia" w:eastAsia="宋体" w:cs="宋体"/>
          <w:color w:val="000000"/>
          <w:kern w:val="2"/>
          <w:sz w:val="24"/>
          <w:szCs w:val="24"/>
          <w:lang w:val="en-US" w:eastAsia="zh" w:bidi="ar-SA"/>
        </w:rPr>
        <w:t>得</w:t>
      </w:r>
      <w:r>
        <w:rPr>
          <w:rFonts w:hint="eastAsia" w:eastAsia="宋体" w:cs="宋体"/>
          <w:color w:val="000000"/>
          <w:kern w:val="2"/>
          <w:sz w:val="24"/>
          <w:szCs w:val="24"/>
          <w:lang w:val="en-US" w:eastAsia="zh-CN" w:bidi="ar-SA"/>
        </w:rPr>
        <w:t>2</w:t>
      </w:r>
      <w:r>
        <w:rPr>
          <w:rFonts w:hint="eastAsia" w:eastAsia="宋体" w:cs="宋体"/>
          <w:color w:val="000000"/>
          <w:kern w:val="2"/>
          <w:sz w:val="24"/>
          <w:szCs w:val="24"/>
          <w:lang w:val="en-US" w:eastAsia="zh" w:bidi="ar-SA"/>
        </w:rPr>
        <w:t>分。</w:t>
      </w:r>
    </w:p>
    <w:p w14:paraId="28DDE6B7">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w:t>
      </w:r>
      <w:r>
        <w:rPr>
          <w:rFonts w:hint="eastAsia" w:ascii="宋体" w:hAnsi="宋体" w:eastAsia="宋体" w:cs="宋体"/>
          <w:b/>
          <w:bCs/>
          <w:color w:val="000000"/>
          <w:kern w:val="2"/>
          <w:sz w:val="24"/>
          <w:szCs w:val="24"/>
          <w:lang w:val="en-US" w:eastAsia="zh" w:bidi="ar-SA"/>
        </w:rPr>
        <w:t>4</w:t>
      </w:r>
      <w:r>
        <w:rPr>
          <w:rFonts w:hint="eastAsia" w:ascii="宋体" w:hAnsi="宋体" w:eastAsia="宋体" w:cs="宋体"/>
          <w:b/>
          <w:bCs/>
          <w:color w:val="000000"/>
          <w:kern w:val="2"/>
          <w:sz w:val="24"/>
          <w:szCs w:val="24"/>
          <w:lang w:val="en-US" w:eastAsia="zh-CN" w:bidi="ar-SA"/>
        </w:rPr>
        <w:t>）</w:t>
      </w:r>
      <w:r>
        <w:rPr>
          <w:rFonts w:hint="eastAsia" w:ascii="宋体" w:hAnsi="宋体" w:eastAsia="宋体" w:cs="宋体"/>
          <w:b/>
          <w:bCs/>
          <w:color w:val="000000"/>
          <w:kern w:val="2"/>
          <w:sz w:val="24"/>
          <w:szCs w:val="24"/>
          <w:lang w:val="en-US" w:eastAsia="zh" w:bidi="ar-SA"/>
        </w:rPr>
        <w:t>结</w:t>
      </w:r>
      <w:r>
        <w:rPr>
          <w:rFonts w:hint="eastAsia" w:ascii="宋体" w:hAnsi="宋体" w:eastAsia="宋体" w:cs="宋体"/>
          <w:b/>
          <w:bCs/>
          <w:color w:val="000000"/>
          <w:kern w:val="2"/>
          <w:sz w:val="24"/>
          <w:szCs w:val="24"/>
          <w:lang w:val="en-US" w:eastAsia="zh-CN" w:bidi="ar-SA"/>
        </w:rPr>
        <w:t>转结余变动率</w:t>
      </w:r>
    </w:p>
    <w:p w14:paraId="7DFBB247">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w:t>
      </w:r>
      <w:r>
        <w:rPr>
          <w:rFonts w:hint="eastAsia" w:eastAsia="宋体" w:cs="宋体"/>
          <w:color w:val="000000"/>
          <w:kern w:val="2"/>
          <w:sz w:val="24"/>
          <w:szCs w:val="24"/>
          <w:lang w:val="en-US" w:eastAsia="zh-CN" w:bidi="ar-SA"/>
        </w:rPr>
        <w:t>2023</w:t>
      </w:r>
      <w:r>
        <w:rPr>
          <w:rFonts w:hint="eastAsia" w:eastAsia="宋体" w:cs="宋体"/>
          <w:color w:val="000000"/>
          <w:kern w:val="2"/>
          <w:sz w:val="24"/>
          <w:szCs w:val="24"/>
          <w:lang w:val="en-US" w:eastAsia="zh" w:bidi="ar-SA"/>
        </w:rPr>
        <w:t>年度累计结转资金</w:t>
      </w:r>
      <w:r>
        <w:rPr>
          <w:rFonts w:hint="eastAsia" w:eastAsia="宋体" w:cs="宋体"/>
          <w:color w:val="000000"/>
          <w:kern w:val="2"/>
          <w:sz w:val="24"/>
          <w:szCs w:val="24"/>
          <w:highlight w:val="none"/>
          <w:lang w:val="en-US" w:eastAsia="zh-CN" w:bidi="ar-SA"/>
        </w:rPr>
        <w:t>6,042.58</w:t>
      </w:r>
      <w:r>
        <w:rPr>
          <w:rFonts w:hint="eastAsia" w:eastAsia="宋体" w:cs="宋体"/>
          <w:color w:val="000000"/>
          <w:kern w:val="2"/>
          <w:sz w:val="24"/>
          <w:szCs w:val="24"/>
          <w:lang w:val="en-US" w:eastAsia="zh" w:bidi="ar-SA"/>
        </w:rPr>
        <w:t>万元，上年度累计结转结余资金总额516.75万元，结转结余变动率</w:t>
      </w:r>
      <w:r>
        <w:rPr>
          <w:rFonts w:hint="eastAsia" w:eastAsia="宋体" w:cs="宋体"/>
          <w:color w:val="000000"/>
          <w:kern w:val="2"/>
          <w:sz w:val="24"/>
          <w:szCs w:val="24"/>
          <w:lang w:val="en-US" w:eastAsia="zh-CN" w:bidi="ar-SA"/>
        </w:rPr>
        <w:t>1,069.34</w:t>
      </w:r>
      <w:r>
        <w:rPr>
          <w:rFonts w:hint="eastAsia" w:eastAsia="宋体" w:cs="宋体"/>
          <w:color w:val="000000"/>
          <w:kern w:val="2"/>
          <w:sz w:val="24"/>
          <w:szCs w:val="24"/>
          <w:lang w:val="en-US" w:eastAsia="zh" w:bidi="ar-SA"/>
        </w:rPr>
        <w:t>%</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本项满分2分，扣2分，得0分。</w:t>
      </w:r>
    </w:p>
    <w:p w14:paraId="17FC795A">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w:t>
      </w:r>
      <w:r>
        <w:rPr>
          <w:rFonts w:hint="eastAsia" w:ascii="宋体" w:hAnsi="宋体" w:eastAsia="宋体" w:cs="宋体"/>
          <w:b/>
          <w:bCs/>
          <w:color w:val="000000"/>
          <w:kern w:val="2"/>
          <w:sz w:val="24"/>
          <w:szCs w:val="24"/>
          <w:lang w:val="en-US" w:eastAsia="zh" w:bidi="ar-SA"/>
        </w:rPr>
        <w:t>5</w:t>
      </w:r>
      <w:r>
        <w:rPr>
          <w:rFonts w:hint="eastAsia" w:ascii="宋体" w:hAnsi="宋体" w:eastAsia="宋体" w:cs="宋体"/>
          <w:b/>
          <w:bCs/>
          <w:color w:val="000000"/>
          <w:kern w:val="2"/>
          <w:sz w:val="24"/>
          <w:szCs w:val="24"/>
          <w:lang w:val="en-US" w:eastAsia="zh-CN" w:bidi="ar-SA"/>
        </w:rPr>
        <w:t>）公用经费控制率</w:t>
      </w:r>
    </w:p>
    <w:p w14:paraId="07A686F1">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w:t>
      </w:r>
      <w:r>
        <w:rPr>
          <w:rFonts w:hint="eastAsia" w:eastAsia="宋体" w:cs="宋体"/>
          <w:color w:val="000000"/>
          <w:kern w:val="2"/>
          <w:sz w:val="24"/>
          <w:szCs w:val="24"/>
          <w:lang w:val="en-US" w:eastAsia="zh-CN" w:bidi="ar-SA"/>
        </w:rPr>
        <w:t>2023年度</w:t>
      </w:r>
      <w:r>
        <w:rPr>
          <w:rFonts w:hint="eastAsia" w:eastAsia="宋体" w:cs="宋体"/>
          <w:color w:val="000000"/>
          <w:kern w:val="2"/>
          <w:sz w:val="24"/>
          <w:szCs w:val="24"/>
          <w:lang w:val="en-US" w:eastAsia="zh" w:bidi="ar-SA"/>
        </w:rPr>
        <w:t>实际支出公用经费总额631.64万元，预算安排公用经费总额920.94万元，公用经费控制率为68.59%，本项目满分2分，得2分。</w:t>
      </w:r>
    </w:p>
    <w:p w14:paraId="0582E607">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w:t>
      </w:r>
      <w:r>
        <w:rPr>
          <w:rFonts w:hint="eastAsia" w:ascii="宋体" w:hAnsi="宋体" w:eastAsia="宋体" w:cs="宋体"/>
          <w:b/>
          <w:bCs/>
          <w:color w:val="000000"/>
          <w:kern w:val="2"/>
          <w:sz w:val="24"/>
          <w:szCs w:val="24"/>
          <w:lang w:val="en-US" w:eastAsia="zh" w:bidi="ar-SA"/>
        </w:rPr>
        <w:t>6</w:t>
      </w:r>
      <w:r>
        <w:rPr>
          <w:rFonts w:hint="eastAsia" w:ascii="宋体" w:hAnsi="宋体" w:eastAsia="宋体" w:cs="宋体"/>
          <w:b/>
          <w:bCs/>
          <w:color w:val="000000"/>
          <w:kern w:val="2"/>
          <w:sz w:val="24"/>
          <w:szCs w:val="24"/>
          <w:lang w:val="en-US" w:eastAsia="zh-CN" w:bidi="ar-SA"/>
        </w:rPr>
        <w:t>）“三公经费 ”控制率</w:t>
      </w:r>
    </w:p>
    <w:p w14:paraId="65AA0489">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CN" w:bidi="ar-SA"/>
        </w:rPr>
        <w:t>市公安局2023</w:t>
      </w:r>
      <w:r>
        <w:rPr>
          <w:rFonts w:hint="eastAsia" w:eastAsia="宋体" w:cs="宋体"/>
          <w:color w:val="000000"/>
          <w:kern w:val="2"/>
          <w:sz w:val="24"/>
          <w:szCs w:val="24"/>
          <w:lang w:val="en-US" w:eastAsia="zh" w:bidi="ar-SA"/>
        </w:rPr>
        <w:t>年三公经费预算数1</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733.81万元；实际支出310.53万元，“三公经费”控制率为17.91%，本项目满分2分，得2分。</w:t>
      </w:r>
    </w:p>
    <w:p w14:paraId="663E748C">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w:t>
      </w:r>
      <w:r>
        <w:rPr>
          <w:rFonts w:hint="eastAsia" w:ascii="宋体" w:hAnsi="宋体" w:eastAsia="宋体" w:cs="宋体"/>
          <w:b/>
          <w:bCs/>
          <w:color w:val="000000"/>
          <w:kern w:val="2"/>
          <w:sz w:val="24"/>
          <w:szCs w:val="24"/>
          <w:lang w:val="en-US" w:eastAsia="zh" w:bidi="ar-SA"/>
        </w:rPr>
        <w:t>7</w:t>
      </w:r>
      <w:r>
        <w:rPr>
          <w:rFonts w:hint="eastAsia" w:ascii="宋体" w:hAnsi="宋体" w:eastAsia="宋体" w:cs="宋体"/>
          <w:b/>
          <w:bCs/>
          <w:color w:val="000000"/>
          <w:kern w:val="2"/>
          <w:sz w:val="24"/>
          <w:szCs w:val="24"/>
          <w:lang w:val="en-US" w:eastAsia="zh-CN" w:bidi="ar-SA"/>
        </w:rPr>
        <w:t>）政府采购执行率</w:t>
      </w:r>
    </w:p>
    <w:p w14:paraId="300E18F6">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市公安局全年政府采购金额为10,065.57万元，年初市公安局编制1,204.16万元政府采购预算，政府采购执行率835.90%</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本项目满分3分，扣3分，得0分。</w:t>
      </w:r>
    </w:p>
    <w:p w14:paraId="4B03A40E">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2.预算管理情况</w:t>
      </w:r>
    </w:p>
    <w:p w14:paraId="6D98322B">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（1）管理制度健全性</w:t>
      </w:r>
    </w:p>
    <w:p w14:paraId="1D79495D">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 w:eastAsia="zh" w:bidi="ar-SA"/>
        </w:rPr>
      </w:pPr>
      <w:r>
        <w:rPr>
          <w:rFonts w:hint="eastAsia" w:eastAsia="宋体" w:cs="宋体"/>
          <w:color w:val="000000"/>
          <w:kern w:val="2"/>
          <w:sz w:val="24"/>
          <w:szCs w:val="24"/>
          <w:lang w:val="en" w:eastAsia="zh" w:bidi="ar-SA"/>
        </w:rPr>
        <w:t>市公安局</w:t>
      </w:r>
      <w:r>
        <w:rPr>
          <w:rFonts w:hint="eastAsia" w:eastAsia="宋体" w:cs="宋体"/>
          <w:color w:val="000000"/>
          <w:kern w:val="2"/>
          <w:sz w:val="24"/>
          <w:szCs w:val="24"/>
          <w:lang w:val="en-US" w:eastAsia="zh-CN" w:bidi="ar-SA"/>
        </w:rPr>
        <w:t>制定有</w:t>
      </w:r>
      <w:r>
        <w:rPr>
          <w:rFonts w:hint="eastAsia" w:eastAsia="宋体" w:cs="宋体"/>
          <w:color w:val="000000"/>
          <w:kern w:val="2"/>
          <w:sz w:val="24"/>
          <w:szCs w:val="24"/>
          <w:lang w:val="en" w:eastAsia="zh" w:bidi="ar-SA"/>
        </w:rPr>
        <w:t>预算资金管理办法、财务管理制度、会计核算制度等管理办法和制度，支出项目具有对应或相关的管理办法和制度，建立了部门内控制度；制度完整、合规，本项满分3分，得3分。</w:t>
      </w:r>
    </w:p>
    <w:p w14:paraId="4E466839">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（2）资金使用合规性</w:t>
      </w:r>
    </w:p>
    <w:p w14:paraId="6E899822">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 w:eastAsia="zh" w:bidi="ar-SA"/>
        </w:rPr>
      </w:pPr>
      <w:r>
        <w:rPr>
          <w:rFonts w:hint="eastAsia" w:eastAsia="宋体" w:cs="宋体"/>
          <w:color w:val="000000"/>
          <w:kern w:val="2"/>
          <w:sz w:val="24"/>
          <w:szCs w:val="24"/>
          <w:lang w:val="en-US" w:eastAsia="zh-CN" w:bidi="ar-SA"/>
        </w:rPr>
        <w:t>市公安局</w:t>
      </w:r>
      <w:r>
        <w:rPr>
          <w:rFonts w:hint="eastAsia" w:eastAsia="宋体" w:cs="宋体"/>
          <w:color w:val="000000"/>
          <w:kern w:val="2"/>
          <w:sz w:val="24"/>
          <w:szCs w:val="24"/>
          <w:lang w:val="en" w:eastAsia="zh" w:bidi="ar-SA"/>
        </w:rPr>
        <w:t>使用预算资金符合国家财经法规和财务管理制度规定以及有关专项资金管用办法的规定</w:t>
      </w:r>
      <w:r>
        <w:rPr>
          <w:rFonts w:hint="eastAsia" w:eastAsia="宋体" w:cs="宋体"/>
          <w:color w:val="000000"/>
          <w:kern w:val="2"/>
          <w:sz w:val="24"/>
          <w:szCs w:val="24"/>
          <w:lang w:val="en" w:eastAsia="zh-CN" w:bidi="ar-SA"/>
        </w:rPr>
        <w:t>；</w:t>
      </w:r>
      <w:r>
        <w:rPr>
          <w:rFonts w:hint="eastAsia" w:eastAsia="宋体" w:cs="宋体"/>
          <w:color w:val="000000"/>
          <w:kern w:val="2"/>
          <w:sz w:val="24"/>
          <w:szCs w:val="24"/>
          <w:lang w:val="en" w:eastAsia="zh" w:bidi="ar-SA"/>
        </w:rPr>
        <w:t>资金的拨付有完整的审批程序和手续</w:t>
      </w:r>
      <w:r>
        <w:rPr>
          <w:rFonts w:hint="eastAsia" w:eastAsia="宋体" w:cs="宋体"/>
          <w:color w:val="000000"/>
          <w:kern w:val="2"/>
          <w:sz w:val="24"/>
          <w:szCs w:val="24"/>
          <w:lang w:val="en" w:eastAsia="zh-CN" w:bidi="ar-SA"/>
        </w:rPr>
        <w:t>；</w:t>
      </w:r>
      <w:r>
        <w:rPr>
          <w:rFonts w:hint="eastAsia" w:eastAsia="宋体" w:cs="宋体"/>
          <w:color w:val="000000"/>
          <w:kern w:val="2"/>
          <w:sz w:val="24"/>
          <w:szCs w:val="24"/>
          <w:lang w:val="en" w:eastAsia="zh" w:bidi="ar-SA"/>
        </w:rPr>
        <w:t>项目的重大开支经过评估论证</w:t>
      </w:r>
      <w:r>
        <w:rPr>
          <w:rFonts w:hint="eastAsia" w:eastAsia="宋体" w:cs="宋体"/>
          <w:color w:val="000000"/>
          <w:kern w:val="2"/>
          <w:sz w:val="24"/>
          <w:szCs w:val="24"/>
          <w:lang w:val="en" w:eastAsia="zh-CN" w:bidi="ar-SA"/>
        </w:rPr>
        <w:t>；</w:t>
      </w:r>
      <w:r>
        <w:rPr>
          <w:rFonts w:hint="eastAsia" w:eastAsia="宋体" w:cs="宋体"/>
          <w:color w:val="000000"/>
          <w:kern w:val="2"/>
          <w:sz w:val="24"/>
          <w:szCs w:val="24"/>
          <w:lang w:val="en" w:eastAsia="zh" w:bidi="ar-SA"/>
        </w:rPr>
        <w:t>符合部门</w:t>
      </w:r>
      <w:r>
        <w:rPr>
          <w:rFonts w:hint="eastAsia" w:eastAsia="宋体" w:cs="宋体"/>
          <w:color w:val="000000"/>
          <w:kern w:val="2"/>
          <w:sz w:val="24"/>
          <w:szCs w:val="24"/>
          <w:lang w:val="en" w:eastAsia="zh-CN" w:bidi="ar-SA"/>
        </w:rPr>
        <w:t>预定</w:t>
      </w:r>
      <w:r>
        <w:rPr>
          <w:rFonts w:hint="eastAsia" w:eastAsia="宋体" w:cs="宋体"/>
          <w:color w:val="000000"/>
          <w:kern w:val="2"/>
          <w:sz w:val="24"/>
          <w:szCs w:val="24"/>
          <w:lang w:val="en" w:eastAsia="zh" w:bidi="ar-SA"/>
        </w:rPr>
        <w:t>批复的用途</w:t>
      </w:r>
      <w:r>
        <w:rPr>
          <w:rFonts w:hint="eastAsia" w:eastAsia="宋体" w:cs="宋体"/>
          <w:color w:val="000000"/>
          <w:kern w:val="2"/>
          <w:sz w:val="24"/>
          <w:szCs w:val="24"/>
          <w:lang w:val="en" w:eastAsia="zh-CN" w:bidi="ar-SA"/>
        </w:rPr>
        <w:t>；</w:t>
      </w:r>
      <w:r>
        <w:rPr>
          <w:rFonts w:hint="eastAsia" w:eastAsia="宋体" w:cs="宋体"/>
          <w:color w:val="000000"/>
          <w:kern w:val="2"/>
          <w:sz w:val="24"/>
          <w:szCs w:val="24"/>
          <w:lang w:val="en" w:eastAsia="zh" w:bidi="ar-SA"/>
        </w:rPr>
        <w:t>不存在截留、挤占、挪用、虚列支出等情况。本项满分5分，得5分。</w:t>
      </w:r>
    </w:p>
    <w:p w14:paraId="345EFCE0">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（3）预决算信息公开性</w:t>
      </w:r>
    </w:p>
    <w:p w14:paraId="7EE37D7B">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截至单位绩效评价之日</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单位按规定在政府公开信息网站上公开了2023年预算情况。本项满分2分，得</w:t>
      </w:r>
      <w:r>
        <w:rPr>
          <w:rFonts w:hint="eastAsia" w:eastAsia="宋体" w:cs="宋体"/>
          <w:color w:val="000000"/>
          <w:kern w:val="2"/>
          <w:sz w:val="24"/>
          <w:szCs w:val="24"/>
          <w:lang w:val="en-US" w:eastAsia="zh-CN" w:bidi="ar-SA"/>
        </w:rPr>
        <w:t>2</w:t>
      </w:r>
      <w:r>
        <w:rPr>
          <w:rFonts w:hint="eastAsia" w:eastAsia="宋体" w:cs="宋体"/>
          <w:color w:val="000000"/>
          <w:kern w:val="2"/>
          <w:sz w:val="24"/>
          <w:szCs w:val="24"/>
          <w:lang w:val="en-US" w:eastAsia="zh" w:bidi="ar-SA"/>
        </w:rPr>
        <w:t>分。</w:t>
      </w:r>
    </w:p>
    <w:p w14:paraId="2F9ABAD7">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（4）基础信息完善性</w:t>
      </w:r>
    </w:p>
    <w:p w14:paraId="536493F2">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经抽查，单位基础数据信息和会计信息资料完整，本项满分2分，得2分。</w:t>
      </w:r>
    </w:p>
    <w:p w14:paraId="5B3440B6">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2"/>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3.资产管理情况</w:t>
      </w:r>
    </w:p>
    <w:p w14:paraId="6E1E58F8">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（1）资产管理制度健全性</w:t>
      </w:r>
    </w:p>
    <w:p w14:paraId="0C78EBDF">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市公安局已制定资产管理制度，财务管理制度等管理办法和制度，相关资产管理制度合法、合规、完整</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本项满分 3 分，得3分。</w:t>
      </w:r>
    </w:p>
    <w:p w14:paraId="11E3B02F">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（2）资产管理安全性</w:t>
      </w:r>
    </w:p>
    <w:p w14:paraId="5A3952A0">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市公安局资产原值共计3</w:t>
      </w:r>
      <w:r>
        <w:rPr>
          <w:rFonts w:hint="eastAsia" w:eastAsia="宋体" w:cs="宋体"/>
          <w:color w:val="000000"/>
          <w:kern w:val="2"/>
          <w:sz w:val="24"/>
          <w:szCs w:val="24"/>
          <w:lang w:val="en-US" w:eastAsia="zh-CN" w:bidi="ar-SA"/>
        </w:rPr>
        <w:t>3,7</w:t>
      </w:r>
      <w:r>
        <w:rPr>
          <w:rFonts w:hint="eastAsia" w:eastAsia="宋体" w:cs="宋体"/>
          <w:color w:val="000000"/>
          <w:kern w:val="2"/>
          <w:sz w:val="24"/>
          <w:szCs w:val="24"/>
          <w:lang w:val="en-US" w:eastAsia="zh" w:bidi="ar-SA"/>
        </w:rPr>
        <w:t>7</w:t>
      </w:r>
      <w:r>
        <w:rPr>
          <w:rFonts w:hint="eastAsia" w:eastAsia="宋体" w:cs="宋体"/>
          <w:color w:val="000000"/>
          <w:kern w:val="2"/>
          <w:sz w:val="24"/>
          <w:szCs w:val="24"/>
          <w:lang w:val="en-US" w:eastAsia="zh-CN" w:bidi="ar-SA"/>
        </w:rPr>
        <w:t>2.5</w:t>
      </w:r>
      <w:r>
        <w:rPr>
          <w:rFonts w:hint="eastAsia" w:eastAsia="宋体" w:cs="宋体"/>
          <w:color w:val="000000"/>
          <w:kern w:val="2"/>
          <w:sz w:val="24"/>
          <w:szCs w:val="24"/>
          <w:lang w:val="en-US" w:eastAsia="zh" w:bidi="ar-SA"/>
        </w:rPr>
        <w:t>7</w:t>
      </w:r>
      <w:r>
        <w:rPr>
          <w:rFonts w:hint="eastAsia" w:eastAsia="宋体" w:cs="宋体"/>
          <w:color w:val="000000"/>
          <w:kern w:val="2"/>
          <w:sz w:val="24"/>
          <w:szCs w:val="24"/>
          <w:lang w:val="en-US" w:eastAsia="zh-CN" w:bidi="ar-SA"/>
        </w:rPr>
        <w:t>万</w:t>
      </w:r>
      <w:r>
        <w:rPr>
          <w:rFonts w:hint="eastAsia" w:eastAsia="宋体" w:cs="宋体"/>
          <w:color w:val="000000"/>
          <w:kern w:val="2"/>
          <w:sz w:val="24"/>
          <w:szCs w:val="24"/>
          <w:lang w:val="en-US" w:eastAsia="zh" w:bidi="ar-SA"/>
        </w:rPr>
        <w:t>元，累计折旧/摊销1</w:t>
      </w:r>
      <w:r>
        <w:rPr>
          <w:rFonts w:hint="eastAsia" w:eastAsia="宋体" w:cs="宋体"/>
          <w:color w:val="000000"/>
          <w:kern w:val="2"/>
          <w:sz w:val="24"/>
          <w:szCs w:val="24"/>
          <w:lang w:val="en-US" w:eastAsia="zh-CN" w:bidi="ar-SA"/>
        </w:rPr>
        <w:t>9,2</w:t>
      </w:r>
      <w:r>
        <w:rPr>
          <w:rFonts w:hint="eastAsia" w:eastAsia="宋体" w:cs="宋体"/>
          <w:color w:val="000000"/>
          <w:kern w:val="2"/>
          <w:sz w:val="24"/>
          <w:szCs w:val="24"/>
          <w:lang w:val="en-US" w:eastAsia="zh" w:bidi="ar-SA"/>
        </w:rPr>
        <w:t>2</w:t>
      </w:r>
      <w:r>
        <w:rPr>
          <w:rFonts w:hint="eastAsia" w:eastAsia="宋体" w:cs="宋体"/>
          <w:color w:val="000000"/>
          <w:kern w:val="2"/>
          <w:sz w:val="24"/>
          <w:szCs w:val="24"/>
          <w:lang w:val="en-US" w:eastAsia="zh-CN" w:bidi="ar-SA"/>
        </w:rPr>
        <w:t>7.6</w:t>
      </w:r>
      <w:r>
        <w:rPr>
          <w:rFonts w:hint="eastAsia" w:eastAsia="宋体" w:cs="宋体"/>
          <w:color w:val="000000"/>
          <w:kern w:val="2"/>
          <w:sz w:val="24"/>
          <w:szCs w:val="24"/>
          <w:lang w:val="en-US" w:eastAsia="zh" w:bidi="ar-SA"/>
        </w:rPr>
        <w:t>3</w:t>
      </w:r>
      <w:r>
        <w:rPr>
          <w:rFonts w:hint="eastAsia" w:eastAsia="宋体" w:cs="宋体"/>
          <w:color w:val="000000"/>
          <w:kern w:val="2"/>
          <w:sz w:val="24"/>
          <w:szCs w:val="24"/>
          <w:lang w:val="en-US" w:eastAsia="zh-CN" w:bidi="ar-SA"/>
        </w:rPr>
        <w:t>万</w:t>
      </w:r>
      <w:r>
        <w:rPr>
          <w:rFonts w:hint="eastAsia" w:eastAsia="宋体" w:cs="宋体"/>
          <w:color w:val="000000"/>
          <w:kern w:val="2"/>
          <w:sz w:val="24"/>
          <w:szCs w:val="24"/>
          <w:lang w:val="en-US" w:eastAsia="zh" w:bidi="ar-SA"/>
        </w:rPr>
        <w:t>元，净值1</w:t>
      </w:r>
      <w:r>
        <w:rPr>
          <w:rFonts w:hint="eastAsia" w:eastAsia="宋体" w:cs="宋体"/>
          <w:color w:val="000000"/>
          <w:kern w:val="2"/>
          <w:sz w:val="24"/>
          <w:szCs w:val="24"/>
          <w:lang w:val="en-US" w:eastAsia="zh-CN" w:bidi="ar-SA"/>
        </w:rPr>
        <w:t>4,5</w:t>
      </w:r>
      <w:r>
        <w:rPr>
          <w:rFonts w:hint="eastAsia" w:eastAsia="宋体" w:cs="宋体"/>
          <w:color w:val="000000"/>
          <w:kern w:val="2"/>
          <w:sz w:val="24"/>
          <w:szCs w:val="24"/>
          <w:lang w:val="en-US" w:eastAsia="zh" w:bidi="ar-SA"/>
        </w:rPr>
        <w:t>4</w:t>
      </w:r>
      <w:r>
        <w:rPr>
          <w:rFonts w:hint="eastAsia" w:eastAsia="宋体" w:cs="宋体"/>
          <w:color w:val="000000"/>
          <w:kern w:val="2"/>
          <w:sz w:val="24"/>
          <w:szCs w:val="24"/>
          <w:lang w:val="en-US" w:eastAsia="zh-CN" w:bidi="ar-SA"/>
        </w:rPr>
        <w:t>4.9</w:t>
      </w:r>
      <w:r>
        <w:rPr>
          <w:rFonts w:hint="eastAsia" w:eastAsia="宋体" w:cs="宋体"/>
          <w:color w:val="000000"/>
          <w:kern w:val="2"/>
          <w:sz w:val="24"/>
          <w:szCs w:val="24"/>
          <w:lang w:val="en-US" w:eastAsia="zh" w:bidi="ar-SA"/>
        </w:rPr>
        <w:t>4</w:t>
      </w:r>
      <w:r>
        <w:rPr>
          <w:rFonts w:hint="eastAsia" w:eastAsia="宋体" w:cs="宋体"/>
          <w:color w:val="000000"/>
          <w:kern w:val="2"/>
          <w:sz w:val="24"/>
          <w:szCs w:val="24"/>
          <w:lang w:val="en-US" w:eastAsia="zh-CN" w:bidi="ar-SA"/>
        </w:rPr>
        <w:t>万</w:t>
      </w:r>
      <w:r>
        <w:rPr>
          <w:rFonts w:hint="eastAsia" w:eastAsia="宋体" w:cs="宋体"/>
          <w:color w:val="000000"/>
          <w:kern w:val="2"/>
          <w:sz w:val="24"/>
          <w:szCs w:val="24"/>
          <w:lang w:val="en-US" w:eastAsia="zh" w:bidi="ar-SA"/>
        </w:rPr>
        <w:t>元，资产报废处置规范，资产账务管理合规，资产使用规范，不存在未经批准擅自出租、出借资产行为，本项满分5分，</w:t>
      </w:r>
      <w:r>
        <w:rPr>
          <w:rFonts w:hint="eastAsia" w:eastAsia="宋体" w:cs="宋体"/>
          <w:color w:val="000000"/>
          <w:kern w:val="2"/>
          <w:sz w:val="24"/>
          <w:szCs w:val="24"/>
          <w:lang w:val="en-US" w:eastAsia="zh-CN" w:bidi="ar-SA"/>
        </w:rPr>
        <w:t>得</w:t>
      </w:r>
      <w:r>
        <w:rPr>
          <w:rFonts w:hint="eastAsia" w:eastAsia="宋体" w:cs="宋体"/>
          <w:color w:val="000000"/>
          <w:kern w:val="2"/>
          <w:sz w:val="24"/>
          <w:szCs w:val="24"/>
          <w:lang w:val="en-US" w:eastAsia="zh" w:bidi="ar-SA"/>
        </w:rPr>
        <w:t>5分。</w:t>
      </w:r>
    </w:p>
    <w:p w14:paraId="1E9E02A3">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（3）固定资产利用率</w:t>
      </w:r>
    </w:p>
    <w:p w14:paraId="33DA4346">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 w:eastAsia="zh" w:bidi="ar-SA"/>
        </w:rPr>
      </w:pPr>
      <w:bookmarkStart w:id="50" w:name="_Toc17486"/>
      <w:bookmarkStart w:id="51" w:name="_Toc7574"/>
      <w:r>
        <w:rPr>
          <w:rFonts w:hint="eastAsia" w:eastAsia="宋体" w:cs="宋体"/>
          <w:color w:val="000000"/>
          <w:kern w:val="2"/>
          <w:sz w:val="24"/>
          <w:szCs w:val="24"/>
          <w:lang w:val="en-US" w:eastAsia="zh-CN" w:bidi="ar-SA"/>
        </w:rPr>
        <w:t>通过固定资产卡片及实地抽查，</w:t>
      </w:r>
      <w:r>
        <w:rPr>
          <w:rFonts w:hint="eastAsia" w:eastAsia="宋体" w:cs="宋体"/>
          <w:color w:val="000000"/>
          <w:kern w:val="2"/>
          <w:sz w:val="24"/>
          <w:szCs w:val="24"/>
          <w:lang w:val="en" w:eastAsia="zh" w:bidi="ar-SA"/>
        </w:rPr>
        <w:t>市公安局共有</w:t>
      </w:r>
      <w:r>
        <w:rPr>
          <w:rFonts w:hint="eastAsia" w:eastAsia="宋体" w:cs="宋体"/>
          <w:color w:val="000000"/>
          <w:kern w:val="2"/>
          <w:sz w:val="24"/>
          <w:szCs w:val="24"/>
          <w:lang w:val="en-US" w:eastAsia="zh-CN" w:bidi="ar-SA"/>
        </w:rPr>
        <w:t>8,8</w:t>
      </w:r>
      <w:r>
        <w:rPr>
          <w:rFonts w:hint="eastAsia" w:eastAsia="宋体" w:cs="宋体"/>
          <w:color w:val="000000"/>
          <w:kern w:val="2"/>
          <w:sz w:val="24"/>
          <w:szCs w:val="24"/>
          <w:lang w:val="en" w:eastAsia="zh" w:bidi="ar-SA"/>
        </w:rPr>
        <w:t>65项资产，在用资产</w:t>
      </w:r>
      <w:r>
        <w:rPr>
          <w:rFonts w:hint="eastAsia" w:eastAsia="宋体" w:cs="宋体"/>
          <w:color w:val="000000"/>
          <w:kern w:val="2"/>
          <w:sz w:val="24"/>
          <w:szCs w:val="24"/>
          <w:lang w:val="en-US" w:eastAsia="zh-CN" w:bidi="ar-SA"/>
        </w:rPr>
        <w:t>8,8</w:t>
      </w:r>
      <w:r>
        <w:rPr>
          <w:rFonts w:hint="eastAsia" w:eastAsia="宋体" w:cs="宋体"/>
          <w:color w:val="000000"/>
          <w:kern w:val="2"/>
          <w:sz w:val="24"/>
          <w:szCs w:val="24"/>
          <w:lang w:val="en" w:eastAsia="zh" w:bidi="ar-SA"/>
        </w:rPr>
        <w:t>46项；资产利用率99.79%，本项满分2分，得2分。</w:t>
      </w:r>
    </w:p>
    <w:p w14:paraId="0671F01F">
      <w:pPr>
        <w:keepNext w:val="0"/>
        <w:keepLines w:val="0"/>
        <w:widowControl w:val="0"/>
        <w:suppressLineNumbers w:val="0"/>
        <w:autoSpaceDE w:val="0"/>
        <w:autoSpaceDN/>
        <w:spacing w:before="10" w:beforeAutospacing="0" w:after="0" w:afterAutospacing="0" w:line="360" w:lineRule="auto"/>
        <w:ind w:left="0" w:right="0" w:firstLine="482" w:firstLineChars="200"/>
        <w:jc w:val="left"/>
        <w:outlineLvl w:val="1"/>
        <w:rPr>
          <w:rFonts w:hint="eastAsia" w:ascii="宋体" w:hAnsi="宋体" w:eastAsia="宋体" w:cs="宋体"/>
          <w:b/>
          <w:bCs/>
          <w:kern w:val="2"/>
          <w:sz w:val="24"/>
          <w:szCs w:val="24"/>
          <w:lang w:val="en" w:eastAsia="zh-CN" w:bidi="ar"/>
        </w:rPr>
      </w:pPr>
      <w:bookmarkStart w:id="52" w:name="_Toc9641"/>
      <w:r>
        <w:rPr>
          <w:rFonts w:hint="eastAsia" w:ascii="宋体" w:hAnsi="宋体" w:eastAsia="宋体" w:cs="宋体"/>
          <w:b/>
          <w:bCs/>
          <w:kern w:val="2"/>
          <w:sz w:val="24"/>
          <w:szCs w:val="24"/>
          <w:lang w:val="en" w:eastAsia="zh-CN" w:bidi="ar"/>
        </w:rPr>
        <w:t>（</w:t>
      </w:r>
      <w:r>
        <w:rPr>
          <w:rFonts w:hint="eastAsia" w:ascii="宋体" w:hAnsi="宋体" w:eastAsia="宋体" w:cs="宋体"/>
          <w:b/>
          <w:bCs/>
          <w:kern w:val="2"/>
          <w:sz w:val="24"/>
          <w:szCs w:val="24"/>
          <w:lang w:val="en-US" w:eastAsia="zh-CN" w:bidi="ar"/>
        </w:rPr>
        <w:t>三）</w:t>
      </w:r>
      <w:r>
        <w:rPr>
          <w:rFonts w:hint="eastAsia" w:ascii="宋体" w:hAnsi="宋体" w:eastAsia="宋体" w:cs="宋体"/>
          <w:b/>
          <w:bCs/>
          <w:kern w:val="2"/>
          <w:sz w:val="24"/>
          <w:szCs w:val="24"/>
          <w:lang w:val="en" w:eastAsia="zh-CN" w:bidi="ar"/>
        </w:rPr>
        <w:t>项目产出情况</w:t>
      </w:r>
      <w:bookmarkEnd w:id="50"/>
      <w:bookmarkEnd w:id="51"/>
      <w:bookmarkEnd w:id="52"/>
    </w:p>
    <w:p w14:paraId="312B2D6B">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CN" w:bidi="ar-SA"/>
        </w:rPr>
      </w:pPr>
      <w:r>
        <w:rPr>
          <w:rFonts w:hint="eastAsia" w:eastAsia="宋体" w:cs="宋体"/>
          <w:color w:val="000000"/>
          <w:kern w:val="2"/>
          <w:sz w:val="24"/>
          <w:szCs w:val="24"/>
          <w:lang w:val="en-US" w:eastAsia="zh-CN" w:bidi="ar-SA"/>
        </w:rPr>
        <w:t>从部门整体产出情况的职责履行方面情况进行评价，满分为</w:t>
      </w:r>
      <w:r>
        <w:rPr>
          <w:rFonts w:hint="eastAsia" w:eastAsia="宋体" w:cs="宋体"/>
          <w:color w:val="000000"/>
          <w:kern w:val="2"/>
          <w:sz w:val="24"/>
          <w:szCs w:val="24"/>
          <w:lang w:val="en-US" w:eastAsia="zh" w:bidi="ar-SA"/>
        </w:rPr>
        <w:t>16</w:t>
      </w:r>
      <w:r>
        <w:rPr>
          <w:rFonts w:hint="eastAsia" w:eastAsia="宋体" w:cs="宋体"/>
          <w:color w:val="000000"/>
          <w:kern w:val="2"/>
          <w:sz w:val="24"/>
          <w:szCs w:val="24"/>
          <w:lang w:val="en-US" w:eastAsia="zh-CN" w:bidi="ar-SA"/>
        </w:rPr>
        <w:t>分，总得分</w:t>
      </w:r>
      <w:r>
        <w:rPr>
          <w:rFonts w:hint="eastAsia" w:eastAsia="宋体" w:cs="宋体"/>
          <w:color w:val="000000"/>
          <w:kern w:val="2"/>
          <w:sz w:val="24"/>
          <w:szCs w:val="24"/>
          <w:lang w:val="en-US" w:eastAsia="zh" w:bidi="ar-SA"/>
        </w:rPr>
        <w:t>14.82</w:t>
      </w:r>
      <w:r>
        <w:rPr>
          <w:rFonts w:hint="eastAsia" w:eastAsia="宋体" w:cs="宋体"/>
          <w:color w:val="000000"/>
          <w:kern w:val="2"/>
          <w:sz w:val="24"/>
          <w:szCs w:val="24"/>
          <w:lang w:val="en-US" w:eastAsia="zh-CN" w:bidi="ar-SA"/>
        </w:rPr>
        <w:t>分。</w:t>
      </w:r>
    </w:p>
    <w:p w14:paraId="35C9346D">
      <w:pPr>
        <w:pStyle w:val="4"/>
        <w:keepNext w:val="0"/>
        <w:keepLines w:val="0"/>
        <w:widowControl w:val="0"/>
        <w:suppressLineNumbers w:val="0"/>
        <w:autoSpaceDE w:val="0"/>
        <w:autoSpaceDN/>
        <w:spacing w:before="165" w:beforeLines="50" w:beforeAutospacing="0" w:after="165" w:afterLines="50" w:afterAutospacing="0" w:line="360" w:lineRule="auto"/>
        <w:ind w:left="0" w:right="0" w:firstLine="0" w:firstLineChars="0"/>
        <w:jc w:val="center"/>
        <w:rPr>
          <w:rFonts w:hint="eastAsia" w:ascii="宋体" w:hAnsi="宋体" w:eastAsia="宋体" w:cs="宋体"/>
          <w:b/>
          <w:bCs/>
          <w:color w:val="000000"/>
          <w:kern w:val="2"/>
          <w:sz w:val="24"/>
          <w:szCs w:val="24"/>
          <w:lang w:val="en-US" w:eastAsia="zh-CN" w:bidi="ar"/>
        </w:rPr>
      </w:pPr>
      <w:r>
        <w:rPr>
          <w:rFonts w:hint="eastAsia" w:ascii="宋体" w:hAnsi="宋体" w:eastAsia="宋体" w:cs="宋体"/>
          <w:b/>
          <w:bCs/>
          <w:color w:val="000000"/>
          <w:kern w:val="2"/>
          <w:sz w:val="24"/>
          <w:szCs w:val="24"/>
          <w:lang w:val="en-US" w:eastAsia="zh-CN" w:bidi="ar"/>
        </w:rPr>
        <w:t>表4-3部门产出情况得分表</w:t>
      </w:r>
    </w:p>
    <w:tbl>
      <w:tblPr>
        <w:tblStyle w:val="10"/>
        <w:tblW w:w="8595" w:type="dxa"/>
        <w:tblInd w:w="96"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246"/>
        <w:gridCol w:w="704"/>
        <w:gridCol w:w="1447"/>
        <w:gridCol w:w="3288"/>
        <w:gridCol w:w="963"/>
        <w:gridCol w:w="947"/>
      </w:tblGrid>
      <w:tr w14:paraId="5D51580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blHeader/>
        </w:trPr>
        <w:tc>
          <w:tcPr>
            <w:tcW w:w="1246" w:type="dxa"/>
            <w:tcBorders>
              <w:tl2br w:val="nil"/>
              <w:tr2bl w:val="nil"/>
            </w:tcBorders>
            <w:noWrap/>
            <w:vAlign w:val="center"/>
          </w:tcPr>
          <w:p w14:paraId="272ADCEA">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一级指标</w:t>
            </w:r>
          </w:p>
        </w:tc>
        <w:tc>
          <w:tcPr>
            <w:tcW w:w="704" w:type="dxa"/>
            <w:tcBorders>
              <w:tl2br w:val="nil"/>
              <w:tr2bl w:val="nil"/>
            </w:tcBorders>
            <w:noWrap/>
            <w:vAlign w:val="center"/>
          </w:tcPr>
          <w:p w14:paraId="3336C746">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分值</w:t>
            </w:r>
          </w:p>
        </w:tc>
        <w:tc>
          <w:tcPr>
            <w:tcW w:w="1447" w:type="dxa"/>
            <w:tcBorders>
              <w:tl2br w:val="nil"/>
              <w:tr2bl w:val="nil"/>
            </w:tcBorders>
            <w:noWrap/>
            <w:vAlign w:val="center"/>
          </w:tcPr>
          <w:p w14:paraId="4779A509">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二级指标</w:t>
            </w:r>
          </w:p>
        </w:tc>
        <w:tc>
          <w:tcPr>
            <w:tcW w:w="3288" w:type="dxa"/>
            <w:tcBorders>
              <w:tl2br w:val="nil"/>
              <w:tr2bl w:val="nil"/>
            </w:tcBorders>
            <w:noWrap/>
            <w:vAlign w:val="center"/>
          </w:tcPr>
          <w:p w14:paraId="13838551">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三级指标</w:t>
            </w:r>
          </w:p>
        </w:tc>
        <w:tc>
          <w:tcPr>
            <w:tcW w:w="963" w:type="dxa"/>
            <w:tcBorders>
              <w:tl2br w:val="nil"/>
              <w:tr2bl w:val="nil"/>
            </w:tcBorders>
            <w:noWrap/>
            <w:vAlign w:val="center"/>
          </w:tcPr>
          <w:p w14:paraId="258FE88D">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分值</w:t>
            </w:r>
          </w:p>
        </w:tc>
        <w:tc>
          <w:tcPr>
            <w:tcW w:w="947" w:type="dxa"/>
            <w:tcBorders>
              <w:tl2br w:val="nil"/>
              <w:tr2bl w:val="nil"/>
            </w:tcBorders>
            <w:noWrap/>
            <w:vAlign w:val="center"/>
          </w:tcPr>
          <w:p w14:paraId="60CE4225">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得分</w:t>
            </w:r>
          </w:p>
        </w:tc>
      </w:tr>
      <w:tr w14:paraId="65FEBE5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1246" w:type="dxa"/>
            <w:vMerge w:val="restart"/>
            <w:tcBorders>
              <w:tl2br w:val="nil"/>
              <w:tr2bl w:val="nil"/>
            </w:tcBorders>
            <w:noWrap/>
            <w:vAlign w:val="center"/>
          </w:tcPr>
          <w:p w14:paraId="1A6476AD">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1"/>
                <w:szCs w:val="21"/>
                <w:lang w:eastAsia="zh-CN"/>
              </w:rPr>
            </w:pPr>
            <w:r>
              <w:rPr>
                <w:rFonts w:hint="eastAsia" w:ascii="宋体" w:hAnsi="宋体" w:eastAsia="宋体" w:cs="宋体"/>
                <w:color w:val="000000"/>
                <w:kern w:val="0"/>
                <w:sz w:val="21"/>
                <w:szCs w:val="21"/>
                <w:lang w:val="en-US" w:eastAsia="zh-CN"/>
              </w:rPr>
              <w:t>产出</w:t>
            </w:r>
          </w:p>
        </w:tc>
        <w:tc>
          <w:tcPr>
            <w:tcW w:w="704" w:type="dxa"/>
            <w:vMerge w:val="restart"/>
            <w:tcBorders>
              <w:tl2br w:val="nil"/>
              <w:tr2bl w:val="nil"/>
            </w:tcBorders>
            <w:noWrap/>
            <w:vAlign w:val="center"/>
          </w:tcPr>
          <w:p w14:paraId="4AD1EEC3">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1"/>
                <w:szCs w:val="21"/>
                <w:lang w:val="en-US" w:eastAsia="zh"/>
              </w:rPr>
            </w:pPr>
            <w:r>
              <w:rPr>
                <w:rFonts w:hint="eastAsia" w:ascii="宋体" w:hAnsi="宋体" w:eastAsia="宋体" w:cs="宋体"/>
                <w:color w:val="000000"/>
                <w:sz w:val="21"/>
                <w:szCs w:val="21"/>
                <w:lang w:val="en-US" w:eastAsia="zh"/>
              </w:rPr>
              <w:t>16</w:t>
            </w:r>
          </w:p>
        </w:tc>
        <w:tc>
          <w:tcPr>
            <w:tcW w:w="1447" w:type="dxa"/>
            <w:vMerge w:val="restart"/>
            <w:tcBorders>
              <w:tl2br w:val="nil"/>
              <w:tr2bl w:val="nil"/>
            </w:tcBorders>
            <w:vAlign w:val="center"/>
          </w:tcPr>
          <w:p w14:paraId="4F5E563B">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职责履行</w:t>
            </w:r>
          </w:p>
          <w:p w14:paraId="7C583D4A">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1"/>
                <w:szCs w:val="21"/>
              </w:rPr>
            </w:pPr>
          </w:p>
        </w:tc>
        <w:tc>
          <w:tcPr>
            <w:tcW w:w="3288" w:type="dxa"/>
            <w:tcBorders>
              <w:tl2br w:val="nil"/>
              <w:tr2bl w:val="nil"/>
            </w:tcBorders>
            <w:vAlign w:val="center"/>
          </w:tcPr>
          <w:p w14:paraId="28F5C97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1"/>
                <w:szCs w:val="21"/>
                <w:lang w:eastAsia="zh"/>
              </w:rPr>
            </w:pPr>
            <w:r>
              <w:rPr>
                <w:rFonts w:hint="eastAsia" w:ascii="宋体" w:hAnsi="宋体" w:eastAsia="宋体" w:cs="宋体"/>
                <w:i w:val="0"/>
                <w:iCs w:val="0"/>
                <w:color w:val="000000"/>
                <w:kern w:val="0"/>
                <w:sz w:val="21"/>
                <w:szCs w:val="21"/>
                <w:u w:val="none"/>
                <w:lang w:val="en-US" w:eastAsia="zh" w:bidi="ar"/>
              </w:rPr>
              <w:t>部门项目</w:t>
            </w:r>
            <w:r>
              <w:rPr>
                <w:rFonts w:hint="eastAsia" w:ascii="宋体" w:hAnsi="宋体" w:eastAsia="宋体" w:cs="宋体"/>
                <w:i w:val="0"/>
                <w:iCs w:val="0"/>
                <w:color w:val="000000"/>
                <w:kern w:val="0"/>
                <w:sz w:val="21"/>
                <w:szCs w:val="21"/>
                <w:u w:val="none"/>
                <w:lang w:val="en-US" w:eastAsia="zh-CN" w:bidi="ar"/>
              </w:rPr>
              <w:t>实际完成</w:t>
            </w:r>
            <w:r>
              <w:rPr>
                <w:rFonts w:hint="eastAsia" w:ascii="宋体" w:hAnsi="宋体" w:eastAsia="宋体" w:cs="宋体"/>
                <w:i w:val="0"/>
                <w:iCs w:val="0"/>
                <w:color w:val="000000"/>
                <w:kern w:val="0"/>
                <w:sz w:val="21"/>
                <w:szCs w:val="21"/>
                <w:u w:val="none"/>
                <w:lang w:val="en-US" w:eastAsia="zh" w:bidi="ar"/>
              </w:rPr>
              <w:t>情况</w:t>
            </w:r>
          </w:p>
        </w:tc>
        <w:tc>
          <w:tcPr>
            <w:tcW w:w="963" w:type="dxa"/>
            <w:tcBorders>
              <w:tl2br w:val="nil"/>
              <w:tr2bl w:val="nil"/>
            </w:tcBorders>
            <w:vAlign w:val="center"/>
          </w:tcPr>
          <w:p w14:paraId="328CB0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1"/>
                <w:szCs w:val="21"/>
                <w:lang w:val="en-US" w:eastAsia="zh"/>
              </w:rPr>
            </w:pPr>
            <w:r>
              <w:rPr>
                <w:rFonts w:hint="eastAsia" w:ascii="宋体" w:hAnsi="宋体" w:eastAsia="宋体" w:cs="宋体"/>
                <w:color w:val="000000"/>
                <w:sz w:val="21"/>
                <w:szCs w:val="21"/>
                <w:lang w:val="en-US" w:eastAsia="zh"/>
              </w:rPr>
              <w:t>4</w:t>
            </w:r>
          </w:p>
        </w:tc>
        <w:tc>
          <w:tcPr>
            <w:tcW w:w="947" w:type="dxa"/>
            <w:tcBorders>
              <w:tl2br w:val="nil"/>
              <w:tr2bl w:val="nil"/>
            </w:tcBorders>
            <w:noWrap/>
            <w:vAlign w:val="center"/>
          </w:tcPr>
          <w:p w14:paraId="54F6F2B5">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val="0"/>
                <w:color w:val="000000"/>
                <w:sz w:val="21"/>
                <w:szCs w:val="21"/>
                <w:lang w:val="en-US" w:eastAsia="zh"/>
              </w:rPr>
            </w:pPr>
            <w:r>
              <w:rPr>
                <w:rFonts w:hint="eastAsia" w:ascii="宋体" w:hAnsi="宋体" w:eastAsia="宋体" w:cs="宋体"/>
                <w:b w:val="0"/>
                <w:bCs w:val="0"/>
                <w:color w:val="000000"/>
                <w:sz w:val="21"/>
                <w:szCs w:val="21"/>
                <w:lang w:val="en-US" w:eastAsia="zh"/>
              </w:rPr>
              <w:t>4</w:t>
            </w:r>
          </w:p>
        </w:tc>
      </w:tr>
      <w:tr w14:paraId="1B97645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1246" w:type="dxa"/>
            <w:vMerge w:val="continue"/>
            <w:tcBorders>
              <w:tl2br w:val="nil"/>
              <w:tr2bl w:val="nil"/>
            </w:tcBorders>
            <w:noWrap/>
            <w:vAlign w:val="center"/>
          </w:tcPr>
          <w:p w14:paraId="2B324B95">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1"/>
                <w:szCs w:val="21"/>
              </w:rPr>
            </w:pPr>
          </w:p>
        </w:tc>
        <w:tc>
          <w:tcPr>
            <w:tcW w:w="704" w:type="dxa"/>
            <w:vMerge w:val="continue"/>
            <w:tcBorders>
              <w:tl2br w:val="nil"/>
              <w:tr2bl w:val="nil"/>
            </w:tcBorders>
            <w:noWrap/>
            <w:vAlign w:val="center"/>
          </w:tcPr>
          <w:p w14:paraId="31188E7C">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1"/>
                <w:szCs w:val="21"/>
              </w:rPr>
            </w:pPr>
          </w:p>
        </w:tc>
        <w:tc>
          <w:tcPr>
            <w:tcW w:w="1447" w:type="dxa"/>
            <w:vMerge w:val="continue"/>
            <w:tcBorders>
              <w:tl2br w:val="nil"/>
              <w:tr2bl w:val="nil"/>
            </w:tcBorders>
            <w:noWrap/>
            <w:vAlign w:val="center"/>
          </w:tcPr>
          <w:p w14:paraId="134DF649">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1"/>
                <w:szCs w:val="21"/>
              </w:rPr>
            </w:pPr>
          </w:p>
        </w:tc>
        <w:tc>
          <w:tcPr>
            <w:tcW w:w="3288" w:type="dxa"/>
            <w:tcBorders>
              <w:tl2br w:val="nil"/>
              <w:tr2bl w:val="nil"/>
            </w:tcBorders>
            <w:noWrap/>
            <w:vAlign w:val="center"/>
          </w:tcPr>
          <w:p w14:paraId="79E115F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sz w:val="21"/>
                <w:szCs w:val="21"/>
                <w:lang w:val="en-US" w:eastAsia="zh"/>
              </w:rPr>
              <w:t>重点项目资金支付进度</w:t>
            </w:r>
          </w:p>
        </w:tc>
        <w:tc>
          <w:tcPr>
            <w:tcW w:w="963" w:type="dxa"/>
            <w:tcBorders>
              <w:tl2br w:val="nil"/>
              <w:tr2bl w:val="nil"/>
            </w:tcBorders>
            <w:noWrap/>
            <w:vAlign w:val="center"/>
          </w:tcPr>
          <w:p w14:paraId="194044F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1"/>
                <w:szCs w:val="21"/>
                <w:lang w:val="en-US" w:eastAsia="zh"/>
              </w:rPr>
            </w:pPr>
            <w:r>
              <w:rPr>
                <w:rFonts w:hint="eastAsia" w:ascii="宋体" w:hAnsi="宋体" w:eastAsia="宋体" w:cs="宋体"/>
                <w:color w:val="000000"/>
                <w:kern w:val="0"/>
                <w:sz w:val="21"/>
                <w:szCs w:val="21"/>
                <w:lang w:val="en-US" w:eastAsia="zh"/>
              </w:rPr>
              <w:t>4</w:t>
            </w:r>
          </w:p>
        </w:tc>
        <w:tc>
          <w:tcPr>
            <w:tcW w:w="947" w:type="dxa"/>
            <w:tcBorders>
              <w:tl2br w:val="nil"/>
              <w:tr2bl w:val="nil"/>
            </w:tcBorders>
            <w:noWrap/>
            <w:vAlign w:val="center"/>
          </w:tcPr>
          <w:p w14:paraId="49A63C25">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val="0"/>
                <w:sz w:val="21"/>
                <w:szCs w:val="21"/>
                <w:lang w:val="en-US" w:eastAsia="zh"/>
              </w:rPr>
            </w:pPr>
            <w:r>
              <w:rPr>
                <w:rFonts w:hint="eastAsia" w:ascii="宋体" w:hAnsi="宋体" w:eastAsia="宋体" w:cs="宋体"/>
                <w:b w:val="0"/>
                <w:bCs w:val="0"/>
                <w:sz w:val="21"/>
                <w:szCs w:val="21"/>
                <w:lang w:val="en-US" w:eastAsia="zh"/>
              </w:rPr>
              <w:t>2.82</w:t>
            </w:r>
          </w:p>
        </w:tc>
      </w:tr>
      <w:tr w14:paraId="66A2257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1246" w:type="dxa"/>
            <w:vMerge w:val="continue"/>
            <w:tcBorders>
              <w:tl2br w:val="nil"/>
              <w:tr2bl w:val="nil"/>
            </w:tcBorders>
            <w:noWrap/>
            <w:vAlign w:val="center"/>
          </w:tcPr>
          <w:p w14:paraId="13AB7148">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1"/>
                <w:szCs w:val="21"/>
              </w:rPr>
            </w:pPr>
          </w:p>
        </w:tc>
        <w:tc>
          <w:tcPr>
            <w:tcW w:w="704" w:type="dxa"/>
            <w:vMerge w:val="continue"/>
            <w:tcBorders>
              <w:tl2br w:val="nil"/>
              <w:tr2bl w:val="nil"/>
            </w:tcBorders>
            <w:noWrap/>
            <w:vAlign w:val="center"/>
          </w:tcPr>
          <w:p w14:paraId="1A7817A9">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1"/>
                <w:szCs w:val="21"/>
              </w:rPr>
            </w:pPr>
          </w:p>
        </w:tc>
        <w:tc>
          <w:tcPr>
            <w:tcW w:w="1447" w:type="dxa"/>
            <w:vMerge w:val="continue"/>
            <w:tcBorders>
              <w:tl2br w:val="nil"/>
              <w:tr2bl w:val="nil"/>
            </w:tcBorders>
            <w:noWrap/>
            <w:vAlign w:val="center"/>
          </w:tcPr>
          <w:p w14:paraId="38C5F32B">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1"/>
                <w:szCs w:val="21"/>
              </w:rPr>
            </w:pPr>
          </w:p>
        </w:tc>
        <w:tc>
          <w:tcPr>
            <w:tcW w:w="3288" w:type="dxa"/>
            <w:tcBorders>
              <w:tl2br w:val="nil"/>
              <w:tr2bl w:val="nil"/>
            </w:tcBorders>
            <w:noWrap/>
            <w:vAlign w:val="center"/>
          </w:tcPr>
          <w:p w14:paraId="2676A7B6">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1" w:after="0" w:afterAutospacing="1" w:line="240" w:lineRule="auto"/>
              <w:ind w:left="0" w:leftChars="0" w:right="0" w:rightChars="0" w:firstLine="0" w:firstLineChars="0"/>
              <w:jc w:val="center"/>
              <w:textAlignment w:val="auto"/>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 w:bidi="ar"/>
              </w:rPr>
              <w:t>多措并举，综合治理，确保了社会秩序持续平稳</w:t>
            </w:r>
          </w:p>
        </w:tc>
        <w:tc>
          <w:tcPr>
            <w:tcW w:w="963" w:type="dxa"/>
            <w:tcBorders>
              <w:tl2br w:val="nil"/>
              <w:tr2bl w:val="nil"/>
            </w:tcBorders>
            <w:noWrap/>
            <w:vAlign w:val="center"/>
          </w:tcPr>
          <w:p w14:paraId="35A55C5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1"/>
                <w:szCs w:val="21"/>
                <w:lang w:val="en-US" w:eastAsia="zh"/>
              </w:rPr>
            </w:pPr>
            <w:r>
              <w:rPr>
                <w:rFonts w:hint="eastAsia" w:ascii="宋体" w:hAnsi="宋体" w:eastAsia="宋体" w:cs="宋体"/>
                <w:color w:val="000000"/>
                <w:kern w:val="0"/>
                <w:sz w:val="21"/>
                <w:szCs w:val="21"/>
                <w:lang w:val="en-US" w:eastAsia="zh"/>
              </w:rPr>
              <w:t>4</w:t>
            </w:r>
          </w:p>
        </w:tc>
        <w:tc>
          <w:tcPr>
            <w:tcW w:w="947" w:type="dxa"/>
            <w:tcBorders>
              <w:tl2br w:val="nil"/>
              <w:tr2bl w:val="nil"/>
            </w:tcBorders>
            <w:noWrap/>
            <w:vAlign w:val="center"/>
          </w:tcPr>
          <w:p w14:paraId="3C81DB51">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val="0"/>
                <w:sz w:val="21"/>
                <w:szCs w:val="21"/>
                <w:lang w:val="en-US" w:eastAsia="zh"/>
              </w:rPr>
            </w:pPr>
            <w:r>
              <w:rPr>
                <w:rFonts w:hint="eastAsia" w:ascii="宋体" w:hAnsi="宋体" w:eastAsia="宋体" w:cs="宋体"/>
                <w:b w:val="0"/>
                <w:bCs w:val="0"/>
                <w:sz w:val="21"/>
                <w:szCs w:val="21"/>
                <w:lang w:val="en-US" w:eastAsia="zh"/>
              </w:rPr>
              <w:t>4</w:t>
            </w:r>
          </w:p>
        </w:tc>
      </w:tr>
      <w:tr w14:paraId="1E50203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1246" w:type="dxa"/>
            <w:vMerge w:val="continue"/>
            <w:tcBorders>
              <w:tl2br w:val="nil"/>
              <w:tr2bl w:val="nil"/>
            </w:tcBorders>
            <w:noWrap/>
            <w:vAlign w:val="center"/>
          </w:tcPr>
          <w:p w14:paraId="6D6F789B">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1"/>
                <w:szCs w:val="21"/>
              </w:rPr>
            </w:pPr>
          </w:p>
        </w:tc>
        <w:tc>
          <w:tcPr>
            <w:tcW w:w="704" w:type="dxa"/>
            <w:vMerge w:val="continue"/>
            <w:tcBorders>
              <w:tl2br w:val="nil"/>
              <w:tr2bl w:val="nil"/>
            </w:tcBorders>
            <w:noWrap/>
            <w:vAlign w:val="center"/>
          </w:tcPr>
          <w:p w14:paraId="7B026995">
            <w:pPr>
              <w:keepNext w:val="0"/>
              <w:keepLines w:val="0"/>
              <w:pageBreakBefore w:val="0"/>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1"/>
                <w:szCs w:val="21"/>
              </w:rPr>
            </w:pPr>
          </w:p>
        </w:tc>
        <w:tc>
          <w:tcPr>
            <w:tcW w:w="1447" w:type="dxa"/>
            <w:vMerge w:val="continue"/>
            <w:tcBorders>
              <w:tl2br w:val="nil"/>
              <w:tr2bl w:val="nil"/>
            </w:tcBorders>
            <w:noWrap/>
            <w:vAlign w:val="center"/>
          </w:tcPr>
          <w:p w14:paraId="17C06D6A">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1"/>
                <w:szCs w:val="21"/>
              </w:rPr>
            </w:pPr>
          </w:p>
        </w:tc>
        <w:tc>
          <w:tcPr>
            <w:tcW w:w="3288" w:type="dxa"/>
            <w:tcBorders>
              <w:tl2br w:val="nil"/>
              <w:tr2bl w:val="nil"/>
            </w:tcBorders>
            <w:noWrap/>
            <w:vAlign w:val="center"/>
          </w:tcPr>
          <w:p w14:paraId="066B8372">
            <w:pPr>
              <w:pStyle w:val="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1" w:after="0" w:afterAutospacing="1" w:line="240" w:lineRule="auto"/>
              <w:ind w:left="0" w:leftChars="0" w:right="0" w:rightChars="0" w:firstLine="0" w:firstLineChars="0"/>
              <w:jc w:val="center"/>
              <w:textAlignment w:val="auto"/>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 w:bidi="ar"/>
              </w:rPr>
              <w:t>全力打击各类违法犯罪活动</w:t>
            </w:r>
          </w:p>
        </w:tc>
        <w:tc>
          <w:tcPr>
            <w:tcW w:w="963" w:type="dxa"/>
            <w:tcBorders>
              <w:tl2br w:val="nil"/>
              <w:tr2bl w:val="nil"/>
            </w:tcBorders>
            <w:noWrap/>
            <w:vAlign w:val="center"/>
          </w:tcPr>
          <w:p w14:paraId="14A1AC8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1"/>
                <w:szCs w:val="21"/>
                <w:lang w:val="en-US" w:eastAsia="zh"/>
              </w:rPr>
            </w:pPr>
            <w:r>
              <w:rPr>
                <w:rFonts w:hint="eastAsia" w:ascii="宋体" w:hAnsi="宋体" w:eastAsia="宋体" w:cs="宋体"/>
                <w:color w:val="000000"/>
                <w:kern w:val="0"/>
                <w:sz w:val="21"/>
                <w:szCs w:val="21"/>
                <w:lang w:val="en-US" w:eastAsia="zh"/>
              </w:rPr>
              <w:t>4</w:t>
            </w:r>
          </w:p>
        </w:tc>
        <w:tc>
          <w:tcPr>
            <w:tcW w:w="947" w:type="dxa"/>
            <w:tcBorders>
              <w:tl2br w:val="nil"/>
              <w:tr2bl w:val="nil"/>
            </w:tcBorders>
            <w:noWrap/>
            <w:vAlign w:val="center"/>
          </w:tcPr>
          <w:p w14:paraId="184E43B8">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val="0"/>
                <w:sz w:val="21"/>
                <w:szCs w:val="21"/>
                <w:lang w:val="en-US" w:eastAsia="zh"/>
              </w:rPr>
            </w:pPr>
            <w:r>
              <w:rPr>
                <w:rFonts w:hint="eastAsia" w:ascii="宋体" w:hAnsi="宋体" w:eastAsia="宋体" w:cs="宋体"/>
                <w:b w:val="0"/>
                <w:bCs w:val="0"/>
                <w:sz w:val="21"/>
                <w:szCs w:val="21"/>
                <w:lang w:val="en-US" w:eastAsia="zh"/>
              </w:rPr>
              <w:t>4</w:t>
            </w:r>
          </w:p>
        </w:tc>
      </w:tr>
      <w:tr w14:paraId="6B4F1CC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atLeast"/>
        </w:trPr>
        <w:tc>
          <w:tcPr>
            <w:tcW w:w="6685" w:type="dxa"/>
            <w:gridSpan w:val="4"/>
            <w:tcBorders>
              <w:tl2br w:val="nil"/>
              <w:tr2bl w:val="nil"/>
            </w:tcBorders>
            <w:noWrap/>
            <w:vAlign w:val="center"/>
          </w:tcPr>
          <w:p w14:paraId="70D81D0F">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1"/>
                <w:szCs w:val="21"/>
                <w:lang w:val="en-US" w:eastAsia="zh-CN"/>
              </w:rPr>
            </w:pPr>
            <w:r>
              <w:rPr>
                <w:rFonts w:hint="eastAsia" w:ascii="宋体" w:hAnsi="宋体" w:eastAsia="宋体" w:cs="宋体"/>
                <w:b/>
                <w:bCs/>
                <w:color w:val="000000"/>
                <w:kern w:val="0"/>
                <w:sz w:val="21"/>
                <w:szCs w:val="21"/>
                <w:lang w:val="en-US" w:eastAsia="zh-CN"/>
              </w:rPr>
              <w:t>合计</w:t>
            </w:r>
          </w:p>
        </w:tc>
        <w:tc>
          <w:tcPr>
            <w:tcW w:w="963" w:type="dxa"/>
            <w:tcBorders>
              <w:tl2br w:val="nil"/>
              <w:tr2bl w:val="nil"/>
            </w:tcBorders>
            <w:noWrap/>
            <w:vAlign w:val="center"/>
          </w:tcPr>
          <w:p w14:paraId="6F70AE5E">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bCs/>
                <w:color w:val="000000"/>
                <w:kern w:val="0"/>
                <w:sz w:val="21"/>
                <w:szCs w:val="21"/>
                <w:lang w:val="en-US" w:eastAsia="zh"/>
              </w:rPr>
            </w:pPr>
            <w:r>
              <w:rPr>
                <w:rFonts w:hint="eastAsia" w:ascii="宋体" w:hAnsi="宋体" w:eastAsia="宋体" w:cs="宋体"/>
                <w:b/>
                <w:bCs/>
                <w:color w:val="000000"/>
                <w:kern w:val="0"/>
                <w:sz w:val="21"/>
                <w:szCs w:val="21"/>
                <w:lang w:val="en-US" w:eastAsia="zh"/>
              </w:rPr>
              <w:t>16</w:t>
            </w:r>
          </w:p>
        </w:tc>
        <w:tc>
          <w:tcPr>
            <w:tcW w:w="947" w:type="dxa"/>
            <w:tcBorders>
              <w:tl2br w:val="nil"/>
              <w:tr2bl w:val="nil"/>
            </w:tcBorders>
            <w:noWrap/>
            <w:vAlign w:val="center"/>
          </w:tcPr>
          <w:p w14:paraId="4CA6AC7E">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bCs/>
                <w:sz w:val="21"/>
                <w:szCs w:val="21"/>
                <w:lang w:val="en-US" w:eastAsia="zh"/>
              </w:rPr>
            </w:pPr>
            <w:r>
              <w:rPr>
                <w:rFonts w:hint="eastAsia" w:ascii="宋体" w:hAnsi="宋体" w:eastAsia="宋体" w:cs="宋体"/>
                <w:b/>
                <w:bCs/>
                <w:sz w:val="21"/>
                <w:szCs w:val="21"/>
                <w:lang w:val="en-US" w:eastAsia="zh"/>
              </w:rPr>
              <w:t>14.82</w:t>
            </w:r>
          </w:p>
        </w:tc>
      </w:tr>
    </w:tbl>
    <w:p w14:paraId="4EA3EB56">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 w:bidi="ar-SA"/>
        </w:rPr>
      </w:pPr>
      <w:r>
        <w:rPr>
          <w:rFonts w:hint="eastAsia" w:ascii="宋体" w:hAnsi="宋体" w:eastAsia="宋体" w:cs="宋体"/>
          <w:b/>
          <w:bCs/>
          <w:color w:val="000000"/>
          <w:kern w:val="2"/>
          <w:sz w:val="24"/>
          <w:szCs w:val="24"/>
          <w:lang w:val="en-US" w:eastAsia="zh-CN" w:bidi="ar-SA"/>
        </w:rPr>
        <w:t>（1）</w:t>
      </w:r>
      <w:r>
        <w:rPr>
          <w:rFonts w:hint="eastAsia" w:ascii="宋体" w:hAnsi="宋体" w:eastAsia="宋体" w:cs="宋体"/>
          <w:b/>
          <w:bCs/>
          <w:color w:val="000000"/>
          <w:kern w:val="2"/>
          <w:sz w:val="24"/>
          <w:szCs w:val="24"/>
          <w:lang w:val="en-US" w:eastAsia="zh" w:bidi="ar-SA"/>
        </w:rPr>
        <w:t>部门项目</w:t>
      </w:r>
      <w:r>
        <w:rPr>
          <w:rFonts w:hint="eastAsia" w:ascii="宋体" w:hAnsi="宋体" w:eastAsia="宋体" w:cs="宋体"/>
          <w:b/>
          <w:bCs/>
          <w:color w:val="000000"/>
          <w:kern w:val="2"/>
          <w:sz w:val="24"/>
          <w:szCs w:val="24"/>
          <w:lang w:val="en-US" w:eastAsia="zh-CN" w:bidi="ar-SA"/>
        </w:rPr>
        <w:t>实际完成</w:t>
      </w:r>
      <w:r>
        <w:rPr>
          <w:rFonts w:hint="eastAsia" w:ascii="宋体" w:hAnsi="宋体" w:eastAsia="宋体" w:cs="宋体"/>
          <w:b/>
          <w:bCs/>
          <w:color w:val="000000"/>
          <w:kern w:val="2"/>
          <w:sz w:val="24"/>
          <w:szCs w:val="24"/>
          <w:lang w:val="en-US" w:eastAsia="zh" w:bidi="ar-SA"/>
        </w:rPr>
        <w:t>情况</w:t>
      </w:r>
    </w:p>
    <w:p w14:paraId="5F17FB93">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 2023年计划完成项目数53个（不包</w:t>
      </w:r>
      <w:r>
        <w:rPr>
          <w:rFonts w:hint="eastAsia" w:eastAsia="宋体" w:cs="宋体"/>
          <w:color w:val="000000"/>
          <w:kern w:val="2"/>
          <w:sz w:val="24"/>
          <w:szCs w:val="24"/>
          <w:lang w:val="en-US" w:eastAsia="zh-CN" w:bidi="ar-SA"/>
        </w:rPr>
        <w:t>括</w:t>
      </w:r>
      <w:r>
        <w:rPr>
          <w:rFonts w:hint="eastAsia" w:eastAsia="宋体" w:cs="宋体"/>
          <w:color w:val="000000"/>
          <w:kern w:val="2"/>
          <w:sz w:val="24"/>
          <w:szCs w:val="24"/>
          <w:lang w:val="en-US" w:eastAsia="zh" w:bidi="ar-SA"/>
        </w:rPr>
        <w:t>涉密项目），实际完成项目数53个，部门项目实际完成率为100%。本项满分 4 分，得4分。</w:t>
      </w:r>
    </w:p>
    <w:p w14:paraId="41DB1500">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 w:bidi="ar-SA"/>
        </w:rPr>
      </w:pPr>
      <w:r>
        <w:rPr>
          <w:rFonts w:hint="eastAsia" w:ascii="宋体" w:hAnsi="宋体" w:eastAsia="宋体" w:cs="宋体"/>
          <w:b/>
          <w:bCs/>
          <w:color w:val="000000"/>
          <w:kern w:val="2"/>
          <w:sz w:val="24"/>
          <w:szCs w:val="24"/>
          <w:lang w:val="en-US" w:eastAsia="zh" w:bidi="ar-SA"/>
        </w:rPr>
        <w:t>（2）重点项目资金支付进度</w:t>
      </w:r>
    </w:p>
    <w:p w14:paraId="349D928F">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市公安局2023年度共53个重点项目（不包</w:t>
      </w:r>
      <w:r>
        <w:rPr>
          <w:rFonts w:hint="eastAsia" w:eastAsia="宋体" w:cs="宋体"/>
          <w:color w:val="000000"/>
          <w:kern w:val="2"/>
          <w:sz w:val="24"/>
          <w:szCs w:val="24"/>
          <w:lang w:val="en-US" w:eastAsia="zh-CN" w:bidi="ar-SA"/>
        </w:rPr>
        <w:t>括</w:t>
      </w:r>
      <w:r>
        <w:rPr>
          <w:rFonts w:hint="eastAsia" w:eastAsia="宋体" w:cs="宋体"/>
          <w:color w:val="000000"/>
          <w:kern w:val="2"/>
          <w:sz w:val="24"/>
          <w:szCs w:val="24"/>
          <w:lang w:val="en-US" w:eastAsia="zh" w:bidi="ar-SA"/>
        </w:rPr>
        <w:t>涉密项目），预算资金为11,187.31万元，全年共支付7,882.55万元，全年重点项目支付进度为70.46%。本项满分 4 分，</w:t>
      </w:r>
      <w:r>
        <w:rPr>
          <w:rFonts w:hint="eastAsia" w:eastAsia="宋体" w:cs="宋体"/>
          <w:color w:val="000000"/>
          <w:kern w:val="2"/>
          <w:sz w:val="24"/>
          <w:szCs w:val="24"/>
          <w:lang w:val="en-US" w:eastAsia="zh-CN" w:bidi="ar-SA"/>
        </w:rPr>
        <w:t>扣1.18分，</w:t>
      </w:r>
      <w:r>
        <w:rPr>
          <w:rFonts w:hint="eastAsia" w:eastAsia="宋体" w:cs="宋体"/>
          <w:color w:val="000000"/>
          <w:kern w:val="2"/>
          <w:sz w:val="24"/>
          <w:szCs w:val="24"/>
          <w:lang w:val="en-US" w:eastAsia="zh" w:bidi="ar-SA"/>
        </w:rPr>
        <w:t>得2.82分。</w:t>
      </w:r>
    </w:p>
    <w:p w14:paraId="23FE66FD">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 w:bidi="ar-SA"/>
        </w:rPr>
      </w:pPr>
      <w:r>
        <w:rPr>
          <w:rFonts w:hint="eastAsia" w:ascii="宋体" w:hAnsi="宋体" w:eastAsia="宋体" w:cs="宋体"/>
          <w:b/>
          <w:bCs/>
          <w:color w:val="000000"/>
          <w:kern w:val="2"/>
          <w:sz w:val="24"/>
          <w:szCs w:val="24"/>
          <w:lang w:val="en-US" w:eastAsia="zh" w:bidi="ar-SA"/>
        </w:rPr>
        <w:t>（3）多措并举，综合治理，确保社会秩序持续平稳</w:t>
      </w:r>
    </w:p>
    <w:p w14:paraId="686C2E49">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 2023年共搜集情报信息 6104条，核查线索254起，落地查人300余人；开展日常巡逻260余次，出动巡逻警力4400余人次，处置上访事件13 起，处置街面警情16起，受理群众求助7起，排查安全隐患1处</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可疑人员5人；协助各党政企事业单位梳理信息系统23个，对54家</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次</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我市重点网站开展远程漏洞扫描工作，发现高危漏洞119个，中低危漏洞214个，信息类漏洞821个；检查中石油、中石化 129 家次，金融领域督导检查 16 家次</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民爆物品 55 家次，烟花爆竹销售点 23 家次。本项满分4分，得4分。</w:t>
      </w:r>
    </w:p>
    <w:p w14:paraId="493188D4">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 w:bidi="ar-SA"/>
        </w:rPr>
      </w:pPr>
      <w:r>
        <w:rPr>
          <w:rFonts w:hint="eastAsia" w:ascii="宋体" w:hAnsi="宋体" w:eastAsia="宋体" w:cs="宋体"/>
          <w:b/>
          <w:bCs/>
          <w:color w:val="000000"/>
          <w:kern w:val="2"/>
          <w:sz w:val="24"/>
          <w:szCs w:val="24"/>
          <w:lang w:val="en-US" w:eastAsia="zh-CN" w:bidi="ar-SA"/>
        </w:rPr>
        <w:t>（4）</w:t>
      </w:r>
      <w:r>
        <w:rPr>
          <w:rFonts w:hint="eastAsia" w:ascii="宋体" w:hAnsi="宋体" w:eastAsia="宋体" w:cs="宋体"/>
          <w:b/>
          <w:bCs/>
          <w:color w:val="000000"/>
          <w:kern w:val="2"/>
          <w:sz w:val="24"/>
          <w:szCs w:val="24"/>
          <w:lang w:val="en-US" w:eastAsia="zh" w:bidi="ar-SA"/>
        </w:rPr>
        <w:t>全力打击各类违法犯罪活动</w:t>
      </w:r>
    </w:p>
    <w:p w14:paraId="4A4C3125">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 xml:space="preserve">市公安局2023年共立各类刑事案件520起，抓获犯罪嫌疑人349名，挽回经济损失为 995万余元；经济案件立案 15 起，涉案金额约 </w:t>
      </w:r>
      <w:r>
        <w:rPr>
          <w:rFonts w:hint="eastAsia" w:eastAsia="宋体" w:cs="宋体"/>
          <w:color w:val="000000"/>
          <w:kern w:val="2"/>
          <w:sz w:val="24"/>
          <w:szCs w:val="24"/>
          <w:lang w:val="en-US" w:eastAsia="zh-CN" w:bidi="ar-SA"/>
        </w:rPr>
        <w:t>6,7</w:t>
      </w:r>
      <w:r>
        <w:rPr>
          <w:rFonts w:hint="eastAsia" w:eastAsia="宋体" w:cs="宋体"/>
          <w:color w:val="000000"/>
          <w:kern w:val="2"/>
          <w:sz w:val="24"/>
          <w:szCs w:val="24"/>
          <w:lang w:val="en-US" w:eastAsia="zh" w:bidi="ar-SA"/>
        </w:rPr>
        <w:t>54.6余万元，抓获犯罪嫌疑人11人；查处赌博行政案件65起，收缴赌资</w:t>
      </w:r>
      <w:r>
        <w:rPr>
          <w:rFonts w:hint="eastAsia" w:eastAsia="宋体" w:cs="宋体"/>
          <w:color w:val="000000"/>
          <w:kern w:val="2"/>
          <w:sz w:val="24"/>
          <w:szCs w:val="24"/>
          <w:lang w:val="en-US" w:eastAsia="zh-CN" w:bidi="ar-SA"/>
        </w:rPr>
        <w:t>40.19万</w:t>
      </w:r>
      <w:r>
        <w:rPr>
          <w:rFonts w:hint="eastAsia" w:eastAsia="宋体" w:cs="宋体"/>
          <w:color w:val="000000"/>
          <w:kern w:val="2"/>
          <w:sz w:val="24"/>
          <w:szCs w:val="24"/>
          <w:lang w:val="en-US" w:eastAsia="zh" w:bidi="ar-SA"/>
        </w:rPr>
        <w:t>元，处理参赌人员138人；查处涉黄案件7起，处理违法行为人员26人。本项满分4分，得4分。</w:t>
      </w:r>
    </w:p>
    <w:p w14:paraId="06B69C98">
      <w:pPr>
        <w:keepNext w:val="0"/>
        <w:keepLines w:val="0"/>
        <w:widowControl w:val="0"/>
        <w:suppressLineNumbers w:val="0"/>
        <w:autoSpaceDE w:val="0"/>
        <w:autoSpaceDN/>
        <w:spacing w:before="10" w:beforeAutospacing="0" w:after="0" w:afterAutospacing="0" w:line="360" w:lineRule="auto"/>
        <w:ind w:left="0" w:right="0" w:firstLine="482" w:firstLineChars="200"/>
        <w:jc w:val="left"/>
        <w:outlineLvl w:val="1"/>
        <w:rPr>
          <w:rFonts w:hint="eastAsia" w:ascii="宋体" w:hAnsi="宋体" w:eastAsia="宋体" w:cs="宋体"/>
          <w:b/>
          <w:bCs/>
          <w:kern w:val="2"/>
          <w:sz w:val="24"/>
          <w:szCs w:val="24"/>
          <w:lang w:val="en-US" w:eastAsia="zh-CN" w:bidi="ar"/>
        </w:rPr>
      </w:pPr>
      <w:bookmarkStart w:id="53" w:name="_Toc26538"/>
      <w:r>
        <w:rPr>
          <w:rFonts w:hint="eastAsia" w:ascii="宋体" w:hAnsi="宋体" w:eastAsia="宋体" w:cs="宋体"/>
          <w:b/>
          <w:bCs/>
          <w:kern w:val="2"/>
          <w:sz w:val="24"/>
          <w:szCs w:val="24"/>
          <w:lang w:val="en-US" w:eastAsia="zh" w:bidi="ar"/>
        </w:rPr>
        <w:t>（</w:t>
      </w:r>
      <w:r>
        <w:rPr>
          <w:rFonts w:hint="eastAsia" w:ascii="宋体" w:hAnsi="宋体" w:eastAsia="宋体" w:cs="宋体"/>
          <w:b/>
          <w:bCs/>
          <w:kern w:val="2"/>
          <w:sz w:val="24"/>
          <w:szCs w:val="24"/>
          <w:lang w:val="en-US" w:eastAsia="zh-CN" w:bidi="ar"/>
        </w:rPr>
        <w:t>四）部门效益情况</w:t>
      </w:r>
      <w:bookmarkEnd w:id="53"/>
    </w:p>
    <w:p w14:paraId="1DAFF46C">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CN" w:bidi="ar-SA"/>
        </w:rPr>
      </w:pPr>
      <w:r>
        <w:rPr>
          <w:rFonts w:hint="eastAsia" w:eastAsia="宋体" w:cs="宋体"/>
          <w:color w:val="000000"/>
          <w:kern w:val="2"/>
          <w:sz w:val="24"/>
          <w:szCs w:val="24"/>
          <w:lang w:val="en-US" w:eastAsia="zh-CN" w:bidi="ar-SA"/>
        </w:rPr>
        <w:t>从部门整体效果情况的履职效益方面情况进行评价，满分为2</w:t>
      </w:r>
      <w:r>
        <w:rPr>
          <w:rFonts w:hint="eastAsia" w:eastAsia="宋体" w:cs="宋体"/>
          <w:color w:val="000000"/>
          <w:kern w:val="2"/>
          <w:sz w:val="24"/>
          <w:szCs w:val="24"/>
          <w:lang w:val="en-US" w:eastAsia="zh" w:bidi="ar-SA"/>
        </w:rPr>
        <w:t>0</w:t>
      </w:r>
      <w:r>
        <w:rPr>
          <w:rFonts w:hint="eastAsia" w:eastAsia="宋体" w:cs="宋体"/>
          <w:color w:val="000000"/>
          <w:kern w:val="2"/>
          <w:sz w:val="24"/>
          <w:szCs w:val="24"/>
          <w:lang w:val="en-US" w:eastAsia="zh-CN" w:bidi="ar-SA"/>
        </w:rPr>
        <w:t>分，总得分</w:t>
      </w:r>
      <w:r>
        <w:rPr>
          <w:rFonts w:hint="eastAsia" w:eastAsia="宋体" w:cs="宋体"/>
          <w:color w:val="000000"/>
          <w:kern w:val="2"/>
          <w:sz w:val="24"/>
          <w:szCs w:val="24"/>
          <w:lang w:val="en-US" w:eastAsia="zh" w:bidi="ar-SA"/>
        </w:rPr>
        <w:t>20</w:t>
      </w:r>
      <w:r>
        <w:rPr>
          <w:rFonts w:hint="eastAsia" w:eastAsia="宋体" w:cs="宋体"/>
          <w:color w:val="000000"/>
          <w:kern w:val="2"/>
          <w:sz w:val="24"/>
          <w:szCs w:val="24"/>
          <w:lang w:val="en-US" w:eastAsia="zh-CN" w:bidi="ar-SA"/>
        </w:rPr>
        <w:t>分。</w:t>
      </w:r>
    </w:p>
    <w:p w14:paraId="2244992C">
      <w:pPr>
        <w:keepNext w:val="0"/>
        <w:keepLines w:val="0"/>
        <w:widowControl w:val="0"/>
        <w:suppressLineNumbers w:val="0"/>
        <w:autoSpaceDE w:val="0"/>
        <w:autoSpaceDN/>
        <w:spacing w:before="10" w:beforeAutospacing="0" w:after="0" w:afterLines="50" w:afterAutospacing="0" w:line="360" w:lineRule="auto"/>
        <w:ind w:left="0" w:right="0" w:firstLine="482" w:firstLineChars="200"/>
        <w:jc w:val="center"/>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表4-4部门效果情况得分表</w:t>
      </w:r>
    </w:p>
    <w:tbl>
      <w:tblPr>
        <w:tblStyle w:val="10"/>
        <w:tblW w:w="8595"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246"/>
        <w:gridCol w:w="704"/>
        <w:gridCol w:w="1478"/>
        <w:gridCol w:w="3098"/>
        <w:gridCol w:w="1122"/>
        <w:gridCol w:w="947"/>
      </w:tblGrid>
      <w:tr w14:paraId="7A213ED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jc w:val="center"/>
        </w:trPr>
        <w:tc>
          <w:tcPr>
            <w:tcW w:w="1246" w:type="dxa"/>
            <w:tcBorders>
              <w:tl2br w:val="nil"/>
              <w:tr2bl w:val="nil"/>
            </w:tcBorders>
            <w:noWrap/>
            <w:vAlign w:val="center"/>
          </w:tcPr>
          <w:p w14:paraId="488F2F7F">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一级指标</w:t>
            </w:r>
          </w:p>
        </w:tc>
        <w:tc>
          <w:tcPr>
            <w:tcW w:w="704" w:type="dxa"/>
            <w:tcBorders>
              <w:tl2br w:val="nil"/>
              <w:tr2bl w:val="nil"/>
            </w:tcBorders>
            <w:noWrap/>
            <w:vAlign w:val="center"/>
          </w:tcPr>
          <w:p w14:paraId="6963FB35">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分值</w:t>
            </w:r>
          </w:p>
        </w:tc>
        <w:tc>
          <w:tcPr>
            <w:tcW w:w="1478" w:type="dxa"/>
            <w:tcBorders>
              <w:tl2br w:val="nil"/>
              <w:tr2bl w:val="nil"/>
            </w:tcBorders>
            <w:noWrap/>
            <w:vAlign w:val="center"/>
          </w:tcPr>
          <w:p w14:paraId="1C537F20">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二级指标</w:t>
            </w:r>
          </w:p>
        </w:tc>
        <w:tc>
          <w:tcPr>
            <w:tcW w:w="3098" w:type="dxa"/>
            <w:tcBorders>
              <w:tl2br w:val="nil"/>
              <w:tr2bl w:val="nil"/>
            </w:tcBorders>
            <w:noWrap/>
            <w:vAlign w:val="center"/>
          </w:tcPr>
          <w:p w14:paraId="335A632E">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三级指标</w:t>
            </w:r>
          </w:p>
        </w:tc>
        <w:tc>
          <w:tcPr>
            <w:tcW w:w="1122" w:type="dxa"/>
            <w:tcBorders>
              <w:tl2br w:val="nil"/>
              <w:tr2bl w:val="nil"/>
            </w:tcBorders>
            <w:noWrap/>
            <w:vAlign w:val="center"/>
          </w:tcPr>
          <w:p w14:paraId="05A0F982">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分值</w:t>
            </w:r>
          </w:p>
        </w:tc>
        <w:tc>
          <w:tcPr>
            <w:tcW w:w="947" w:type="dxa"/>
            <w:tcBorders>
              <w:tl2br w:val="nil"/>
              <w:tr2bl w:val="nil"/>
            </w:tcBorders>
            <w:noWrap/>
            <w:vAlign w:val="center"/>
          </w:tcPr>
          <w:p w14:paraId="7982B55A">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rPr>
              <w:t>得分</w:t>
            </w:r>
          </w:p>
        </w:tc>
      </w:tr>
      <w:tr w14:paraId="0508E64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jc w:val="center"/>
        </w:trPr>
        <w:tc>
          <w:tcPr>
            <w:tcW w:w="1246" w:type="dxa"/>
            <w:vMerge w:val="restart"/>
            <w:tcBorders>
              <w:tl2br w:val="nil"/>
              <w:tr2bl w:val="nil"/>
            </w:tcBorders>
            <w:noWrap/>
            <w:vAlign w:val="center"/>
          </w:tcPr>
          <w:p w14:paraId="77088054">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rPr>
              <w:t>效果</w:t>
            </w:r>
          </w:p>
        </w:tc>
        <w:tc>
          <w:tcPr>
            <w:tcW w:w="704" w:type="dxa"/>
            <w:vMerge w:val="restart"/>
            <w:tcBorders>
              <w:tl2br w:val="nil"/>
              <w:tr2bl w:val="nil"/>
            </w:tcBorders>
            <w:noWrap/>
            <w:vAlign w:val="center"/>
          </w:tcPr>
          <w:p w14:paraId="344CC454">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sz w:val="24"/>
                <w:szCs w:val="24"/>
                <w:lang w:val="en-US" w:eastAsia="zh"/>
              </w:rPr>
            </w:pPr>
            <w:r>
              <w:rPr>
                <w:rFonts w:hint="eastAsia" w:ascii="宋体" w:hAnsi="宋体" w:eastAsia="宋体" w:cs="宋体"/>
                <w:color w:val="000000"/>
                <w:sz w:val="24"/>
                <w:szCs w:val="24"/>
                <w:lang w:val="en-US" w:eastAsia="zh"/>
              </w:rPr>
              <w:t>20</w:t>
            </w:r>
          </w:p>
        </w:tc>
        <w:tc>
          <w:tcPr>
            <w:tcW w:w="1478" w:type="dxa"/>
            <w:vMerge w:val="restart"/>
            <w:tcBorders>
              <w:tl2br w:val="nil"/>
              <w:tr2bl w:val="nil"/>
            </w:tcBorders>
            <w:vAlign w:val="center"/>
          </w:tcPr>
          <w:p w14:paraId="5FD90F1A">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履职效益</w:t>
            </w:r>
          </w:p>
        </w:tc>
        <w:tc>
          <w:tcPr>
            <w:tcW w:w="3098" w:type="dxa"/>
            <w:tcBorders>
              <w:tl2br w:val="nil"/>
              <w:tr2bl w:val="nil"/>
            </w:tcBorders>
            <w:shd w:val="clear" w:color="auto" w:fill="auto"/>
            <w:vAlign w:val="center"/>
          </w:tcPr>
          <w:p w14:paraId="4D0876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社会效益</w:t>
            </w:r>
          </w:p>
        </w:tc>
        <w:tc>
          <w:tcPr>
            <w:tcW w:w="1122" w:type="dxa"/>
            <w:tcBorders>
              <w:tl2br w:val="nil"/>
              <w:tr2bl w:val="nil"/>
            </w:tcBorders>
            <w:vAlign w:val="center"/>
          </w:tcPr>
          <w:p w14:paraId="6F97AC0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val="en-US" w:eastAsia="zh"/>
              </w:rPr>
            </w:pPr>
            <w:r>
              <w:rPr>
                <w:rFonts w:hint="eastAsia" w:ascii="宋体" w:hAnsi="宋体" w:eastAsia="宋体" w:cs="宋体"/>
                <w:color w:val="000000"/>
                <w:sz w:val="24"/>
                <w:szCs w:val="24"/>
                <w:lang w:val="en-US" w:eastAsia="zh"/>
              </w:rPr>
              <w:t>10</w:t>
            </w:r>
          </w:p>
        </w:tc>
        <w:tc>
          <w:tcPr>
            <w:tcW w:w="947" w:type="dxa"/>
            <w:tcBorders>
              <w:tl2br w:val="nil"/>
              <w:tr2bl w:val="nil"/>
            </w:tcBorders>
            <w:noWrap/>
            <w:vAlign w:val="center"/>
          </w:tcPr>
          <w:p w14:paraId="61CFE0D3">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val="0"/>
                <w:color w:val="000000"/>
                <w:sz w:val="24"/>
                <w:szCs w:val="24"/>
                <w:lang w:val="en-US" w:eastAsia="zh"/>
              </w:rPr>
            </w:pPr>
            <w:r>
              <w:rPr>
                <w:rFonts w:hint="eastAsia" w:ascii="宋体" w:hAnsi="宋体" w:eastAsia="宋体" w:cs="宋体"/>
                <w:b w:val="0"/>
                <w:bCs w:val="0"/>
                <w:color w:val="000000"/>
                <w:sz w:val="24"/>
                <w:szCs w:val="24"/>
                <w:lang w:val="en-US" w:eastAsia="zh"/>
              </w:rPr>
              <w:t>10</w:t>
            </w:r>
          </w:p>
        </w:tc>
      </w:tr>
      <w:tr w14:paraId="3C789E1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jc w:val="center"/>
        </w:trPr>
        <w:tc>
          <w:tcPr>
            <w:tcW w:w="1246" w:type="dxa"/>
            <w:vMerge w:val="continue"/>
            <w:tcBorders>
              <w:tl2br w:val="nil"/>
              <w:tr2bl w:val="nil"/>
            </w:tcBorders>
            <w:noWrap/>
            <w:vAlign w:val="center"/>
          </w:tcPr>
          <w:p w14:paraId="27FCCBCC">
            <w:pPr>
              <w:keepNext w:val="0"/>
              <w:keepLines w:val="0"/>
              <w:pageBreakBefore w:val="0"/>
              <w:widowControl/>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04" w:type="dxa"/>
            <w:vMerge w:val="continue"/>
            <w:tcBorders>
              <w:tl2br w:val="nil"/>
              <w:tr2bl w:val="nil"/>
            </w:tcBorders>
            <w:noWrap/>
            <w:vAlign w:val="center"/>
          </w:tcPr>
          <w:p w14:paraId="28E86E95">
            <w:pPr>
              <w:keepNext w:val="0"/>
              <w:keepLines w:val="0"/>
              <w:pageBreakBefore w:val="0"/>
              <w:widowControl/>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478" w:type="dxa"/>
            <w:vMerge w:val="continue"/>
            <w:tcBorders>
              <w:tl2br w:val="nil"/>
              <w:tr2bl w:val="nil"/>
            </w:tcBorders>
            <w:noWrap/>
            <w:vAlign w:val="center"/>
          </w:tcPr>
          <w:p w14:paraId="4589F01D">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p>
        </w:tc>
        <w:tc>
          <w:tcPr>
            <w:tcW w:w="3098" w:type="dxa"/>
            <w:tcBorders>
              <w:tl2br w:val="nil"/>
              <w:tr2bl w:val="nil"/>
            </w:tcBorders>
            <w:shd w:val="clear" w:color="auto" w:fill="auto"/>
            <w:noWrap/>
            <w:vAlign w:val="center"/>
          </w:tcPr>
          <w:p w14:paraId="09480E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 w:bidi="ar-SA"/>
              </w:rPr>
            </w:pPr>
            <w:r>
              <w:rPr>
                <w:rFonts w:hint="eastAsia" w:ascii="宋体" w:hAnsi="宋体" w:eastAsia="宋体" w:cs="宋体"/>
                <w:color w:val="000000"/>
                <w:kern w:val="0"/>
                <w:sz w:val="24"/>
                <w:szCs w:val="24"/>
                <w:lang w:eastAsia="zh"/>
              </w:rPr>
              <w:t>廉政建设</w:t>
            </w:r>
          </w:p>
        </w:tc>
        <w:tc>
          <w:tcPr>
            <w:tcW w:w="1122" w:type="dxa"/>
            <w:tcBorders>
              <w:tl2br w:val="nil"/>
              <w:tr2bl w:val="nil"/>
            </w:tcBorders>
            <w:noWrap/>
            <w:vAlign w:val="center"/>
          </w:tcPr>
          <w:p w14:paraId="20E6985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
              </w:rPr>
            </w:pPr>
            <w:r>
              <w:rPr>
                <w:rFonts w:hint="eastAsia" w:ascii="宋体" w:hAnsi="宋体" w:eastAsia="宋体" w:cs="宋体"/>
                <w:color w:val="000000"/>
                <w:kern w:val="0"/>
                <w:sz w:val="24"/>
                <w:szCs w:val="24"/>
                <w:lang w:val="en-US" w:eastAsia="zh"/>
              </w:rPr>
              <w:t>5</w:t>
            </w:r>
          </w:p>
        </w:tc>
        <w:tc>
          <w:tcPr>
            <w:tcW w:w="947" w:type="dxa"/>
            <w:tcBorders>
              <w:tl2br w:val="nil"/>
              <w:tr2bl w:val="nil"/>
            </w:tcBorders>
            <w:noWrap/>
            <w:vAlign w:val="center"/>
          </w:tcPr>
          <w:p w14:paraId="178972F0">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val="0"/>
                <w:sz w:val="24"/>
                <w:szCs w:val="24"/>
                <w:lang w:val="en-US" w:eastAsia="zh"/>
              </w:rPr>
            </w:pPr>
            <w:r>
              <w:rPr>
                <w:rFonts w:hint="eastAsia" w:ascii="宋体" w:hAnsi="宋体" w:eastAsia="宋体" w:cs="宋体"/>
                <w:b w:val="0"/>
                <w:bCs w:val="0"/>
                <w:sz w:val="24"/>
                <w:szCs w:val="24"/>
                <w:lang w:val="en-US" w:eastAsia="zh"/>
              </w:rPr>
              <w:t>5</w:t>
            </w:r>
          </w:p>
        </w:tc>
      </w:tr>
      <w:tr w14:paraId="1F18943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jc w:val="center"/>
        </w:trPr>
        <w:tc>
          <w:tcPr>
            <w:tcW w:w="1246" w:type="dxa"/>
            <w:vMerge w:val="continue"/>
            <w:tcBorders>
              <w:tl2br w:val="nil"/>
              <w:tr2bl w:val="nil"/>
            </w:tcBorders>
            <w:noWrap/>
            <w:vAlign w:val="center"/>
          </w:tcPr>
          <w:p w14:paraId="7D4AE554">
            <w:pPr>
              <w:keepNext w:val="0"/>
              <w:keepLines w:val="0"/>
              <w:pageBreakBefore w:val="0"/>
              <w:widowControl/>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704" w:type="dxa"/>
            <w:vMerge w:val="continue"/>
            <w:tcBorders>
              <w:tl2br w:val="nil"/>
              <w:tr2bl w:val="nil"/>
            </w:tcBorders>
            <w:noWrap/>
            <w:vAlign w:val="center"/>
          </w:tcPr>
          <w:p w14:paraId="5FBF4BDB">
            <w:pPr>
              <w:keepNext w:val="0"/>
              <w:keepLines w:val="0"/>
              <w:pageBreakBefore w:val="0"/>
              <w:widowControl/>
              <w:kinsoku/>
              <w:wordWrap/>
              <w:overflowPunct/>
              <w:topLinePunct w:val="0"/>
              <w:autoSpaceDE/>
              <w:autoSpaceDN/>
              <w:bidi w:val="0"/>
              <w:adjustRightInd/>
              <w:snapToGrid/>
              <w:spacing w:before="10" w:after="156" w:line="240" w:lineRule="auto"/>
              <w:ind w:firstLine="0" w:firstLineChars="0"/>
              <w:jc w:val="center"/>
              <w:rPr>
                <w:rFonts w:hint="eastAsia" w:ascii="宋体" w:hAnsi="宋体" w:eastAsia="宋体" w:cs="宋体"/>
                <w:b/>
                <w:bCs/>
                <w:sz w:val="24"/>
                <w:szCs w:val="24"/>
              </w:rPr>
            </w:pPr>
          </w:p>
        </w:tc>
        <w:tc>
          <w:tcPr>
            <w:tcW w:w="1478" w:type="dxa"/>
            <w:vMerge w:val="continue"/>
            <w:tcBorders>
              <w:tl2br w:val="nil"/>
              <w:tr2bl w:val="nil"/>
            </w:tcBorders>
            <w:noWrap/>
            <w:vAlign w:val="center"/>
          </w:tcPr>
          <w:p w14:paraId="0ED2630A">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rPr>
            </w:pPr>
          </w:p>
        </w:tc>
        <w:tc>
          <w:tcPr>
            <w:tcW w:w="3098" w:type="dxa"/>
            <w:tcBorders>
              <w:tl2br w:val="nil"/>
              <w:tr2bl w:val="nil"/>
            </w:tcBorders>
            <w:shd w:val="clear" w:color="auto" w:fill="auto"/>
            <w:noWrap/>
            <w:vAlign w:val="center"/>
          </w:tcPr>
          <w:p w14:paraId="654C9E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 w:bidi="ar-SA"/>
              </w:rPr>
            </w:pPr>
            <w:r>
              <w:rPr>
                <w:rFonts w:hint="eastAsia" w:ascii="宋体" w:hAnsi="宋体" w:eastAsia="宋体" w:cs="宋体"/>
                <w:i w:val="0"/>
                <w:iCs w:val="0"/>
                <w:color w:val="000000"/>
                <w:kern w:val="0"/>
                <w:sz w:val="24"/>
                <w:szCs w:val="24"/>
                <w:u w:val="none"/>
                <w:lang w:val="en-US" w:eastAsia="zh-CN" w:bidi="ar"/>
              </w:rPr>
              <w:t>社会公众或服务对象满意度</w:t>
            </w:r>
          </w:p>
        </w:tc>
        <w:tc>
          <w:tcPr>
            <w:tcW w:w="1122" w:type="dxa"/>
            <w:tcBorders>
              <w:tl2br w:val="nil"/>
              <w:tr2bl w:val="nil"/>
            </w:tcBorders>
            <w:noWrap/>
            <w:vAlign w:val="center"/>
          </w:tcPr>
          <w:p w14:paraId="37258A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
              </w:rPr>
            </w:pPr>
            <w:r>
              <w:rPr>
                <w:rFonts w:hint="eastAsia" w:ascii="宋体" w:hAnsi="宋体" w:eastAsia="宋体" w:cs="宋体"/>
                <w:color w:val="000000"/>
                <w:kern w:val="0"/>
                <w:sz w:val="24"/>
                <w:szCs w:val="24"/>
                <w:lang w:val="en-US" w:eastAsia="zh"/>
              </w:rPr>
              <w:t>5</w:t>
            </w:r>
          </w:p>
        </w:tc>
        <w:tc>
          <w:tcPr>
            <w:tcW w:w="947" w:type="dxa"/>
            <w:tcBorders>
              <w:tl2br w:val="nil"/>
              <w:tr2bl w:val="nil"/>
            </w:tcBorders>
            <w:noWrap/>
            <w:vAlign w:val="center"/>
          </w:tcPr>
          <w:p w14:paraId="0E181502">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val="0"/>
                <w:bCs w:val="0"/>
                <w:sz w:val="24"/>
                <w:szCs w:val="24"/>
                <w:lang w:val="en-US" w:eastAsia="zh"/>
              </w:rPr>
            </w:pPr>
            <w:r>
              <w:rPr>
                <w:rFonts w:hint="eastAsia" w:ascii="宋体" w:hAnsi="宋体" w:eastAsia="宋体" w:cs="宋体"/>
                <w:b w:val="0"/>
                <w:bCs w:val="0"/>
                <w:sz w:val="24"/>
                <w:szCs w:val="24"/>
                <w:lang w:val="en-US" w:eastAsia="zh"/>
              </w:rPr>
              <w:t>5</w:t>
            </w:r>
          </w:p>
        </w:tc>
      </w:tr>
      <w:tr w14:paraId="09E18B5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86" w:hRule="exact"/>
          <w:jc w:val="center"/>
        </w:trPr>
        <w:tc>
          <w:tcPr>
            <w:tcW w:w="6526" w:type="dxa"/>
            <w:gridSpan w:val="4"/>
            <w:tcBorders>
              <w:tl2br w:val="nil"/>
              <w:tr2bl w:val="nil"/>
            </w:tcBorders>
            <w:noWrap/>
            <w:vAlign w:val="center"/>
          </w:tcPr>
          <w:p w14:paraId="12BDDEB9">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color w:val="000000"/>
                <w:kern w:val="0"/>
                <w:sz w:val="24"/>
                <w:szCs w:val="24"/>
                <w:lang w:val="en-US" w:eastAsia="zh-CN"/>
              </w:rPr>
            </w:pPr>
            <w:r>
              <w:rPr>
                <w:rFonts w:hint="eastAsia" w:ascii="宋体" w:hAnsi="宋体" w:eastAsia="宋体" w:cs="宋体"/>
                <w:b/>
                <w:bCs/>
                <w:color w:val="000000"/>
                <w:kern w:val="0"/>
                <w:sz w:val="24"/>
                <w:szCs w:val="24"/>
                <w:lang w:val="en-US" w:eastAsia="zh-CN"/>
              </w:rPr>
              <w:t>合计</w:t>
            </w:r>
          </w:p>
        </w:tc>
        <w:tc>
          <w:tcPr>
            <w:tcW w:w="1122" w:type="dxa"/>
            <w:tcBorders>
              <w:tl2br w:val="nil"/>
              <w:tr2bl w:val="nil"/>
            </w:tcBorders>
            <w:noWrap/>
            <w:vAlign w:val="center"/>
          </w:tcPr>
          <w:p w14:paraId="486C5E76">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bCs/>
                <w:color w:val="000000"/>
                <w:kern w:val="0"/>
                <w:sz w:val="24"/>
                <w:szCs w:val="24"/>
                <w:lang w:val="en-US" w:eastAsia="zh"/>
              </w:rPr>
            </w:pPr>
            <w:r>
              <w:rPr>
                <w:rFonts w:hint="eastAsia" w:ascii="宋体" w:hAnsi="宋体" w:eastAsia="宋体" w:cs="宋体"/>
                <w:b/>
                <w:bCs/>
                <w:color w:val="000000"/>
                <w:kern w:val="0"/>
                <w:sz w:val="24"/>
                <w:szCs w:val="24"/>
                <w:lang w:val="en-US" w:eastAsia="zh"/>
              </w:rPr>
              <w:t>20</w:t>
            </w:r>
          </w:p>
        </w:tc>
        <w:tc>
          <w:tcPr>
            <w:tcW w:w="947" w:type="dxa"/>
            <w:tcBorders>
              <w:tl2br w:val="nil"/>
              <w:tr2bl w:val="nil"/>
            </w:tcBorders>
            <w:noWrap/>
            <w:vAlign w:val="center"/>
          </w:tcPr>
          <w:p w14:paraId="46132988">
            <w:pPr>
              <w:keepNext w:val="0"/>
              <w:keepLines w:val="0"/>
              <w:pageBreakBefore w:val="0"/>
              <w:widowControl/>
              <w:kinsoku/>
              <w:wordWrap/>
              <w:overflowPunct/>
              <w:topLinePunct w:val="0"/>
              <w:autoSpaceDE/>
              <w:autoSpaceDN/>
              <w:bidi w:val="0"/>
              <w:adjustRightInd/>
              <w:snapToGrid/>
              <w:spacing w:before="10" w:line="240" w:lineRule="auto"/>
              <w:ind w:firstLine="0" w:firstLineChars="0"/>
              <w:jc w:val="center"/>
              <w:textAlignment w:val="center"/>
              <w:rPr>
                <w:rFonts w:hint="eastAsia" w:ascii="宋体" w:hAnsi="宋体" w:eastAsia="宋体" w:cs="宋体"/>
                <w:b/>
                <w:sz w:val="24"/>
                <w:szCs w:val="24"/>
                <w:lang w:val="en-US" w:eastAsia="zh"/>
              </w:rPr>
            </w:pPr>
            <w:r>
              <w:rPr>
                <w:rFonts w:hint="eastAsia" w:ascii="宋体" w:hAnsi="宋体" w:eastAsia="宋体" w:cs="宋体"/>
                <w:b/>
                <w:sz w:val="24"/>
                <w:szCs w:val="24"/>
                <w:lang w:val="en-US" w:eastAsia="zh"/>
              </w:rPr>
              <w:t>20</w:t>
            </w:r>
          </w:p>
        </w:tc>
      </w:tr>
    </w:tbl>
    <w:p w14:paraId="3EF722F2">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 w:bidi="ar-SA"/>
        </w:rPr>
      </w:pPr>
      <w:r>
        <w:rPr>
          <w:rFonts w:hint="eastAsia" w:eastAsia="宋体" w:cs="宋体"/>
          <w:b/>
          <w:bCs/>
          <w:color w:val="000000"/>
          <w:kern w:val="2"/>
          <w:sz w:val="24"/>
          <w:szCs w:val="24"/>
          <w:lang w:val="en-US" w:eastAsia="zh-CN" w:bidi="ar-SA"/>
        </w:rPr>
        <w:t>（1）</w:t>
      </w:r>
      <w:r>
        <w:rPr>
          <w:rFonts w:hint="eastAsia" w:ascii="宋体" w:hAnsi="宋体" w:eastAsia="宋体" w:cs="宋体"/>
          <w:b/>
          <w:bCs/>
          <w:color w:val="000000"/>
          <w:kern w:val="2"/>
          <w:sz w:val="24"/>
          <w:szCs w:val="24"/>
          <w:lang w:val="en-US" w:eastAsia="zh" w:bidi="ar-SA"/>
        </w:rPr>
        <w:t>社会效益</w:t>
      </w:r>
    </w:p>
    <w:p w14:paraId="55049E25">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2023年市公安局制止</w:t>
      </w:r>
      <w:r>
        <w:rPr>
          <w:rFonts w:hint="eastAsia" w:eastAsia="宋体" w:cs="宋体"/>
          <w:color w:val="000000"/>
          <w:kern w:val="2"/>
          <w:sz w:val="24"/>
          <w:szCs w:val="24"/>
          <w:lang w:val="en-US" w:eastAsia="zh-CN" w:bidi="ar-SA"/>
        </w:rPr>
        <w:t>侦查</w:t>
      </w:r>
      <w:r>
        <w:rPr>
          <w:rFonts w:hint="eastAsia" w:eastAsia="宋体" w:cs="宋体"/>
          <w:color w:val="000000"/>
          <w:kern w:val="2"/>
          <w:sz w:val="24"/>
          <w:szCs w:val="24"/>
          <w:lang w:val="en-US" w:eastAsia="zh" w:bidi="ar-SA"/>
        </w:rPr>
        <w:t>违法犯罪活动；防范打击恐怖活动；维护社会治安秩序；守卫重要场所和设施；管理集会游行和示威活动；监督国家、团体、组织和重点建设工程的安保工作。维护社会治安</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为人民安全、和谐</w:t>
      </w:r>
      <w:r>
        <w:rPr>
          <w:rFonts w:hint="eastAsia" w:eastAsia="宋体" w:cs="宋体"/>
          <w:color w:val="000000"/>
          <w:kern w:val="2"/>
          <w:sz w:val="24"/>
          <w:szCs w:val="24"/>
          <w:lang w:val="en-US" w:eastAsia="zh-CN" w:bidi="ar-SA"/>
        </w:rPr>
        <w:t>地</w:t>
      </w:r>
      <w:r>
        <w:rPr>
          <w:rFonts w:hint="eastAsia" w:eastAsia="宋体" w:cs="宋体"/>
          <w:color w:val="000000"/>
          <w:kern w:val="2"/>
          <w:sz w:val="24"/>
          <w:szCs w:val="24"/>
          <w:lang w:val="en-US" w:eastAsia="zh" w:bidi="ar-SA"/>
        </w:rPr>
        <w:t>生活提供基本保障。本项满分 10 分，得 10 分。</w:t>
      </w:r>
    </w:p>
    <w:p w14:paraId="4AA85873">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ascii="宋体" w:hAnsi="宋体" w:eastAsia="宋体" w:cs="宋体"/>
          <w:b/>
          <w:bCs/>
          <w:color w:val="000000"/>
          <w:kern w:val="2"/>
          <w:sz w:val="24"/>
          <w:szCs w:val="24"/>
          <w:lang w:val="en-US" w:eastAsia="zh" w:bidi="ar-SA"/>
        </w:rPr>
      </w:pPr>
      <w:r>
        <w:rPr>
          <w:rFonts w:hint="eastAsia" w:eastAsia="宋体" w:cs="宋体"/>
          <w:b/>
          <w:bCs/>
          <w:color w:val="000000"/>
          <w:kern w:val="2"/>
          <w:sz w:val="24"/>
          <w:szCs w:val="24"/>
          <w:lang w:val="en-US" w:eastAsia="zh-CN" w:bidi="ar-SA"/>
        </w:rPr>
        <w:t>（2）</w:t>
      </w:r>
      <w:r>
        <w:rPr>
          <w:rFonts w:hint="eastAsia" w:ascii="宋体" w:hAnsi="宋体" w:eastAsia="宋体" w:cs="宋体"/>
          <w:b/>
          <w:bCs/>
          <w:color w:val="000000"/>
          <w:kern w:val="2"/>
          <w:sz w:val="24"/>
          <w:szCs w:val="24"/>
          <w:lang w:val="en-US" w:eastAsia="zh" w:bidi="ar-SA"/>
        </w:rPr>
        <w:t>廉政建设</w:t>
      </w:r>
    </w:p>
    <w:p w14:paraId="719D54C4">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根据我们调查、访谈、查阅资料，</w:t>
      </w:r>
      <w:bookmarkStart w:id="68" w:name="_GoBack"/>
      <w:bookmarkEnd w:id="68"/>
      <w:r>
        <w:rPr>
          <w:rFonts w:hint="eastAsia" w:eastAsia="宋体" w:cs="宋体"/>
          <w:color w:val="000000"/>
          <w:kern w:val="2"/>
          <w:sz w:val="24"/>
          <w:szCs w:val="24"/>
          <w:lang w:val="en-US" w:eastAsia="zh" w:bidi="ar-SA"/>
        </w:rPr>
        <w:t>市公安局2023年度</w:t>
      </w:r>
      <w:r>
        <w:rPr>
          <w:rFonts w:hint="eastAsia" w:eastAsia="宋体" w:cs="宋体"/>
          <w:color w:val="000000"/>
          <w:kern w:val="2"/>
          <w:sz w:val="24"/>
          <w:szCs w:val="24"/>
          <w:lang w:val="en-US" w:eastAsia="zh-CN" w:bidi="ar-SA"/>
        </w:rPr>
        <w:t>无</w:t>
      </w:r>
      <w:r>
        <w:rPr>
          <w:rFonts w:hint="eastAsia" w:eastAsia="宋体" w:cs="宋体"/>
          <w:color w:val="000000"/>
          <w:kern w:val="2"/>
          <w:sz w:val="24"/>
          <w:szCs w:val="24"/>
          <w:lang w:val="en-US" w:eastAsia="zh" w:bidi="ar-SA"/>
        </w:rPr>
        <w:t>违规违纪</w:t>
      </w:r>
      <w:r>
        <w:rPr>
          <w:rFonts w:hint="eastAsia" w:eastAsia="宋体" w:cs="宋体"/>
          <w:color w:val="000000"/>
          <w:kern w:val="2"/>
          <w:sz w:val="24"/>
          <w:szCs w:val="24"/>
          <w:lang w:val="en-US" w:eastAsia="zh-CN" w:bidi="ar-SA"/>
        </w:rPr>
        <w:t>情况</w:t>
      </w:r>
      <w:r>
        <w:rPr>
          <w:rFonts w:hint="eastAsia" w:eastAsia="宋体" w:cs="宋体"/>
          <w:color w:val="000000"/>
          <w:kern w:val="2"/>
          <w:sz w:val="24"/>
          <w:szCs w:val="24"/>
          <w:lang w:val="en-US" w:eastAsia="zh" w:bidi="ar-SA"/>
        </w:rPr>
        <w:t>。本项满分5分，得5分。</w:t>
      </w:r>
    </w:p>
    <w:p w14:paraId="28F11FAE">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2" w:firstLineChars="200"/>
        <w:jc w:val="both"/>
        <w:textAlignment w:val="auto"/>
        <w:rPr>
          <w:rFonts w:hint="eastAsia" w:eastAsia="宋体" w:cs="宋体"/>
          <w:b/>
          <w:bCs/>
          <w:color w:val="000000"/>
          <w:kern w:val="2"/>
          <w:sz w:val="24"/>
          <w:szCs w:val="24"/>
          <w:lang w:val="en-US" w:eastAsia="zh-CN" w:bidi="ar-SA"/>
        </w:rPr>
      </w:pPr>
      <w:r>
        <w:rPr>
          <w:rFonts w:hint="eastAsia" w:eastAsia="宋体" w:cs="宋体"/>
          <w:b/>
          <w:bCs/>
          <w:color w:val="000000"/>
          <w:kern w:val="2"/>
          <w:sz w:val="24"/>
          <w:szCs w:val="24"/>
          <w:lang w:val="en-US" w:eastAsia="zh-CN" w:bidi="ar-SA"/>
        </w:rPr>
        <w:t>（3）社会公众或服务对象满意度</w:t>
      </w:r>
    </w:p>
    <w:p w14:paraId="77F85EDE">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通过</w:t>
      </w:r>
      <w:r>
        <w:rPr>
          <w:rFonts w:hint="eastAsia" w:eastAsia="宋体" w:cs="宋体"/>
          <w:color w:val="000000"/>
          <w:kern w:val="2"/>
          <w:sz w:val="24"/>
          <w:szCs w:val="24"/>
          <w:lang w:val="en-US" w:eastAsia="zh-CN" w:bidi="ar-SA"/>
        </w:rPr>
        <w:t>发放线下调查问卷</w:t>
      </w:r>
      <w:r>
        <w:rPr>
          <w:rFonts w:hint="eastAsia" w:eastAsia="宋体" w:cs="宋体"/>
          <w:color w:val="000000"/>
          <w:kern w:val="2"/>
          <w:sz w:val="24"/>
          <w:szCs w:val="24"/>
          <w:lang w:val="en-US" w:eastAsia="zh" w:bidi="ar-SA"/>
        </w:rPr>
        <w:t>，部门整体满意度为100%。本项满分 5 分，得 5 分。</w:t>
      </w:r>
    </w:p>
    <w:p w14:paraId="5A57599F">
      <w:pPr>
        <w:keepNext w:val="0"/>
        <w:keepLines w:val="0"/>
        <w:widowControl w:val="0"/>
        <w:suppressLineNumbers w:val="0"/>
        <w:autoSpaceDE w:val="0"/>
        <w:autoSpaceDN/>
        <w:spacing w:before="10" w:beforeAutospacing="0" w:after="0" w:afterAutospacing="0" w:line="360" w:lineRule="auto"/>
        <w:ind w:right="0" w:firstLine="482" w:firstLineChars="200"/>
        <w:jc w:val="left"/>
        <w:outlineLvl w:val="0"/>
        <w:rPr>
          <w:rFonts w:hint="eastAsia" w:ascii="宋体" w:hAnsi="宋体" w:eastAsia="宋体" w:cs="宋体"/>
          <w:b/>
          <w:bCs/>
          <w:kern w:val="2"/>
          <w:sz w:val="24"/>
          <w:szCs w:val="24"/>
          <w:lang w:val="en-US" w:eastAsia="zh" w:bidi="ar"/>
        </w:rPr>
      </w:pPr>
      <w:bookmarkStart w:id="54" w:name="_Toc16759"/>
      <w:r>
        <w:rPr>
          <w:rFonts w:hint="eastAsia" w:ascii="宋体" w:hAnsi="宋体" w:eastAsia="宋体" w:cs="宋体"/>
          <w:b/>
          <w:bCs/>
          <w:kern w:val="2"/>
          <w:sz w:val="24"/>
          <w:szCs w:val="24"/>
          <w:lang w:val="en-US" w:eastAsia="zh" w:bidi="ar"/>
        </w:rPr>
        <w:t>五、主要问题分析</w:t>
      </w:r>
      <w:bookmarkEnd w:id="54"/>
    </w:p>
    <w:p w14:paraId="3C9A44BE">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default" w:ascii="宋体" w:hAnsi="宋体" w:eastAsia="宋体" w:cs="宋体"/>
          <w:b/>
          <w:bCs/>
          <w:kern w:val="2"/>
          <w:sz w:val="24"/>
          <w:szCs w:val="24"/>
          <w:lang w:val="en-US" w:eastAsia="zh-CN" w:bidi="ar"/>
        </w:rPr>
      </w:pPr>
      <w:bookmarkStart w:id="55" w:name="_Toc12627"/>
      <w:r>
        <w:rPr>
          <w:rFonts w:hint="eastAsia" w:ascii="宋体" w:hAnsi="宋体" w:eastAsia="宋体" w:cs="宋体"/>
          <w:b/>
          <w:bCs/>
          <w:kern w:val="2"/>
          <w:sz w:val="24"/>
          <w:szCs w:val="24"/>
          <w:lang w:val="en-US" w:eastAsia="zh-CN" w:bidi="ar"/>
        </w:rPr>
        <w:t>（一）</w:t>
      </w:r>
      <w:r>
        <w:rPr>
          <w:rFonts w:hint="eastAsia" w:ascii="宋体" w:hAnsi="宋体" w:eastAsia="宋体" w:cs="宋体"/>
          <w:b/>
          <w:bCs/>
          <w:kern w:val="2"/>
          <w:sz w:val="24"/>
          <w:szCs w:val="24"/>
          <w:lang w:val="en-US" w:eastAsia="zh" w:bidi="ar"/>
        </w:rPr>
        <w:t>绩效目标与预算资金</w:t>
      </w:r>
      <w:r>
        <w:rPr>
          <w:rFonts w:hint="eastAsia" w:ascii="宋体" w:hAnsi="宋体" w:eastAsia="宋体" w:cs="宋体"/>
          <w:b/>
          <w:bCs/>
          <w:kern w:val="2"/>
          <w:sz w:val="24"/>
          <w:szCs w:val="24"/>
          <w:lang w:val="en-US" w:eastAsia="zh-CN" w:bidi="ar"/>
        </w:rPr>
        <w:t>不匹配</w:t>
      </w:r>
      <w:bookmarkEnd w:id="55"/>
    </w:p>
    <w:p w14:paraId="33B88AF2">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CN" w:bidi="ar-SA"/>
        </w:rPr>
      </w:pPr>
      <w:r>
        <w:rPr>
          <w:rFonts w:hint="eastAsia" w:eastAsia="宋体" w:cs="宋体"/>
          <w:color w:val="000000"/>
          <w:kern w:val="2"/>
          <w:sz w:val="24"/>
          <w:szCs w:val="24"/>
          <w:lang w:val="en-US" w:eastAsia="zh" w:bidi="ar-SA"/>
        </w:rPr>
        <w:t>市公安局2023年度年初预算数15,382.99万元，当年调整预算13,775.61万元，调整率为89.55%，</w:t>
      </w:r>
      <w:r>
        <w:rPr>
          <w:rFonts w:hint="eastAsia" w:ascii="宋体" w:hAnsi="宋体" w:eastAsia="宋体" w:cs="宋体"/>
          <w:color w:val="000000"/>
          <w:kern w:val="2"/>
          <w:sz w:val="24"/>
          <w:szCs w:val="24"/>
          <w:lang w:val="en-US" w:eastAsia="zh" w:bidi="ar-SA"/>
        </w:rPr>
        <w:t>年初绩效目标与预算资金不匹配，预算数相差过</w:t>
      </w:r>
      <w:r>
        <w:rPr>
          <w:rFonts w:hint="eastAsia" w:eastAsia="宋体" w:cs="宋体"/>
          <w:color w:val="000000"/>
          <w:kern w:val="2"/>
          <w:sz w:val="24"/>
          <w:szCs w:val="24"/>
          <w:lang w:val="en-US" w:eastAsia="zh-CN" w:bidi="ar-SA"/>
        </w:rPr>
        <w:t>大。</w:t>
      </w:r>
    </w:p>
    <w:p w14:paraId="72F64765">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eastAsia" w:ascii="宋体" w:hAnsi="宋体" w:eastAsia="宋体" w:cs="宋体"/>
          <w:b/>
          <w:bCs/>
          <w:kern w:val="2"/>
          <w:sz w:val="24"/>
          <w:szCs w:val="24"/>
          <w:lang w:val="en-US" w:eastAsia="zh-CN" w:bidi="ar"/>
        </w:rPr>
      </w:pPr>
      <w:bookmarkStart w:id="56" w:name="_Toc5097"/>
      <w:r>
        <w:rPr>
          <w:rFonts w:hint="eastAsia" w:ascii="宋体" w:hAnsi="宋体" w:eastAsia="宋体" w:cs="宋体"/>
          <w:b/>
          <w:bCs/>
          <w:kern w:val="2"/>
          <w:sz w:val="24"/>
          <w:szCs w:val="24"/>
          <w:lang w:val="en-US" w:eastAsia="zh-CN" w:bidi="ar"/>
        </w:rPr>
        <w:t>（二）存在超编现象</w:t>
      </w:r>
      <w:bookmarkEnd w:id="56"/>
    </w:p>
    <w:p w14:paraId="1EEB0965">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市公安局核定编制285人，2023年末在职人员381人，在职人员控制率为133.68%。实有人数与编制名额不匹配。</w:t>
      </w:r>
    </w:p>
    <w:p w14:paraId="0ED222C9">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eastAsia" w:ascii="宋体" w:hAnsi="宋体" w:eastAsia="宋体" w:cs="宋体"/>
          <w:b/>
          <w:bCs/>
          <w:kern w:val="2"/>
          <w:sz w:val="24"/>
          <w:szCs w:val="24"/>
          <w:lang w:val="en-US" w:eastAsia="zh" w:bidi="ar"/>
        </w:rPr>
      </w:pPr>
      <w:bookmarkStart w:id="57" w:name="_Toc6101"/>
      <w:r>
        <w:rPr>
          <w:rFonts w:hint="eastAsia" w:ascii="宋体" w:hAnsi="宋体" w:eastAsia="宋体" w:cs="宋体"/>
          <w:b/>
          <w:bCs/>
          <w:kern w:val="2"/>
          <w:sz w:val="24"/>
          <w:szCs w:val="24"/>
          <w:lang w:val="en-US" w:eastAsia="zh-CN" w:bidi="ar"/>
        </w:rPr>
        <w:t>（三）</w:t>
      </w:r>
      <w:r>
        <w:rPr>
          <w:rFonts w:hint="eastAsia" w:ascii="宋体" w:hAnsi="宋体" w:eastAsia="宋体" w:cs="宋体"/>
          <w:b/>
          <w:bCs/>
          <w:kern w:val="2"/>
          <w:sz w:val="24"/>
          <w:szCs w:val="24"/>
          <w:lang w:val="en-US" w:eastAsia="zh" w:bidi="ar"/>
        </w:rPr>
        <w:t>“三公经费”变动率</w:t>
      </w:r>
      <w:bookmarkEnd w:id="57"/>
    </w:p>
    <w:p w14:paraId="61F37A19">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市公安局2023年“三公经费”预算总额为1,733.81</w:t>
      </w:r>
      <w:r>
        <w:rPr>
          <w:rFonts w:hint="eastAsia" w:eastAsia="宋体" w:cs="宋体"/>
          <w:color w:val="000000"/>
          <w:kern w:val="2"/>
          <w:sz w:val="24"/>
          <w:szCs w:val="24"/>
          <w:lang w:val="en-US" w:eastAsia="zh-CN" w:bidi="ar-SA"/>
        </w:rPr>
        <w:t>万</w:t>
      </w:r>
      <w:r>
        <w:rPr>
          <w:rFonts w:hint="eastAsia" w:eastAsia="宋体" w:cs="宋体"/>
          <w:color w:val="000000"/>
          <w:kern w:val="2"/>
          <w:sz w:val="24"/>
          <w:szCs w:val="24"/>
          <w:lang w:val="en-US" w:eastAsia="zh" w:bidi="ar-SA"/>
        </w:rPr>
        <w:t>元</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2022年“三公经费”预算总额659.83万元</w:t>
      </w:r>
      <w:r>
        <w:rPr>
          <w:rFonts w:hint="eastAsia" w:eastAsia="宋体" w:cs="宋体"/>
          <w:color w:val="000000"/>
          <w:kern w:val="2"/>
          <w:sz w:val="24"/>
          <w:szCs w:val="24"/>
          <w:lang w:val="en-US" w:eastAsia="zh-CN" w:bidi="ar-SA"/>
        </w:rPr>
        <w:t>：</w:t>
      </w:r>
      <w:r>
        <w:rPr>
          <w:rFonts w:hint="eastAsia" w:eastAsia="宋体" w:cs="宋体"/>
          <w:color w:val="000000"/>
          <w:kern w:val="2"/>
          <w:sz w:val="24"/>
          <w:szCs w:val="24"/>
          <w:lang w:val="en-US" w:eastAsia="zh" w:bidi="ar-SA"/>
        </w:rPr>
        <w:t>“三公经费”变动率162.77%。</w:t>
      </w:r>
    </w:p>
    <w:p w14:paraId="3E373A36">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default" w:ascii="宋体" w:hAnsi="宋体" w:eastAsia="宋体" w:cs="宋体"/>
          <w:b/>
          <w:bCs/>
          <w:kern w:val="2"/>
          <w:sz w:val="24"/>
          <w:szCs w:val="24"/>
          <w:lang w:val="en-US" w:eastAsia="zh-CN" w:bidi="ar"/>
        </w:rPr>
      </w:pPr>
      <w:bookmarkStart w:id="58" w:name="_Toc627"/>
      <w:r>
        <w:rPr>
          <w:rFonts w:hint="eastAsia" w:ascii="宋体" w:hAnsi="宋体" w:eastAsia="宋体" w:cs="宋体"/>
          <w:b/>
          <w:bCs/>
          <w:kern w:val="2"/>
          <w:sz w:val="24"/>
          <w:szCs w:val="24"/>
          <w:lang w:val="en-US" w:eastAsia="zh-CN" w:bidi="ar"/>
        </w:rPr>
        <w:t>（四）</w:t>
      </w:r>
      <w:r>
        <w:rPr>
          <w:rFonts w:hint="eastAsia" w:ascii="宋体" w:hAnsi="宋体" w:eastAsia="宋体" w:cs="宋体"/>
          <w:b/>
          <w:bCs/>
          <w:kern w:val="2"/>
          <w:sz w:val="24"/>
          <w:szCs w:val="24"/>
          <w:lang w:val="en-US" w:eastAsia="zh" w:bidi="ar"/>
        </w:rPr>
        <w:t>预算</w:t>
      </w:r>
      <w:r>
        <w:rPr>
          <w:rFonts w:hint="eastAsia" w:ascii="宋体" w:hAnsi="宋体" w:eastAsia="宋体" w:cs="宋体"/>
          <w:b/>
          <w:bCs/>
          <w:kern w:val="2"/>
          <w:sz w:val="24"/>
          <w:szCs w:val="24"/>
          <w:lang w:val="en-US" w:eastAsia="zh-CN" w:bidi="ar"/>
        </w:rPr>
        <w:t>编制不准确</w:t>
      </w:r>
      <w:bookmarkEnd w:id="58"/>
    </w:p>
    <w:p w14:paraId="666D17F8">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default" w:eastAsia="宋体" w:cs="宋体"/>
          <w:color w:val="000000"/>
          <w:kern w:val="2"/>
          <w:sz w:val="24"/>
          <w:szCs w:val="24"/>
          <w:lang w:val="en-US" w:eastAsia="zh-CN" w:bidi="ar-SA"/>
        </w:rPr>
      </w:pPr>
      <w:r>
        <w:rPr>
          <w:rFonts w:hint="eastAsia" w:eastAsia="宋体" w:cs="宋体"/>
          <w:color w:val="000000"/>
          <w:kern w:val="2"/>
          <w:sz w:val="24"/>
          <w:szCs w:val="24"/>
          <w:lang w:val="en-US" w:eastAsia="zh" w:bidi="ar-SA"/>
        </w:rPr>
        <w:t>市公安局</w:t>
      </w:r>
      <w:r>
        <w:rPr>
          <w:rFonts w:hint="eastAsia" w:eastAsia="宋体" w:cs="宋体"/>
          <w:color w:val="000000"/>
          <w:kern w:val="2"/>
          <w:sz w:val="24"/>
          <w:szCs w:val="24"/>
          <w:lang w:val="en-US" w:eastAsia="zh-CN" w:bidi="ar-SA"/>
        </w:rPr>
        <w:t>2023年</w:t>
      </w:r>
      <w:r>
        <w:rPr>
          <w:rFonts w:hint="eastAsia" w:eastAsia="宋体" w:cs="宋体"/>
          <w:color w:val="000000"/>
          <w:kern w:val="2"/>
          <w:sz w:val="24"/>
          <w:szCs w:val="24"/>
          <w:lang w:val="en-US" w:eastAsia="zh" w:bidi="ar-SA"/>
        </w:rPr>
        <w:t>年初预算数15,382.99万元，全年预算数29,158.60万元，调整13,775.61万元，调整率为89.55%，预算完成数</w:t>
      </w:r>
      <w:r>
        <w:rPr>
          <w:rFonts w:hint="eastAsia" w:ascii="宋体" w:hAnsi="宋体" w:eastAsia="宋体" w:cs="宋体"/>
          <w:color w:val="000000"/>
          <w:kern w:val="2"/>
          <w:sz w:val="24"/>
          <w:szCs w:val="24"/>
          <w:lang w:val="en-US" w:eastAsia="zh" w:bidi="ar-SA"/>
        </w:rPr>
        <w:t>2</w:t>
      </w:r>
      <w:r>
        <w:rPr>
          <w:rFonts w:hint="eastAsia" w:eastAsia="宋体" w:cs="宋体"/>
          <w:color w:val="000000"/>
          <w:kern w:val="2"/>
          <w:sz w:val="24"/>
          <w:szCs w:val="24"/>
          <w:lang w:val="en-US" w:eastAsia="zh-CN" w:bidi="ar-SA"/>
        </w:rPr>
        <w:t>3,116.02</w:t>
      </w:r>
      <w:r>
        <w:rPr>
          <w:rFonts w:hint="eastAsia" w:eastAsia="宋体" w:cs="宋体"/>
          <w:color w:val="000000"/>
          <w:kern w:val="2"/>
          <w:sz w:val="24"/>
          <w:szCs w:val="24"/>
          <w:lang w:val="en-US" w:eastAsia="zh" w:bidi="ar-SA"/>
        </w:rPr>
        <w:t>万元</w:t>
      </w:r>
      <w:r>
        <w:rPr>
          <w:rFonts w:hint="eastAsia" w:eastAsia="宋体" w:cs="宋体"/>
          <w:color w:val="000000"/>
          <w:kern w:val="2"/>
          <w:sz w:val="24"/>
          <w:szCs w:val="24"/>
          <w:lang w:val="en-US" w:eastAsia="zh-CN" w:bidi="ar-SA"/>
        </w:rPr>
        <w:t>，预算</w:t>
      </w:r>
      <w:r>
        <w:rPr>
          <w:rFonts w:hint="eastAsia" w:eastAsia="宋体" w:cs="宋体"/>
          <w:color w:val="000000"/>
          <w:kern w:val="2"/>
          <w:sz w:val="24"/>
          <w:szCs w:val="24"/>
          <w:lang w:val="en-US" w:eastAsia="zh" w:bidi="ar-SA"/>
        </w:rPr>
        <w:t>完成率为79.</w:t>
      </w:r>
      <w:r>
        <w:rPr>
          <w:rFonts w:hint="eastAsia" w:eastAsia="宋体" w:cs="宋体"/>
          <w:color w:val="000000"/>
          <w:kern w:val="2"/>
          <w:sz w:val="24"/>
          <w:szCs w:val="24"/>
          <w:lang w:val="en-US" w:eastAsia="zh-CN" w:bidi="ar-SA"/>
        </w:rPr>
        <w:t>27</w:t>
      </w:r>
      <w:r>
        <w:rPr>
          <w:rFonts w:hint="eastAsia" w:eastAsia="宋体" w:cs="宋体"/>
          <w:color w:val="000000"/>
          <w:kern w:val="2"/>
          <w:sz w:val="24"/>
          <w:szCs w:val="24"/>
          <w:lang w:val="en-US" w:eastAsia="zh" w:bidi="ar-SA"/>
        </w:rPr>
        <w:t>%</w:t>
      </w:r>
      <w:r>
        <w:rPr>
          <w:rFonts w:hint="eastAsia" w:eastAsia="宋体" w:cs="宋体"/>
          <w:color w:val="000000"/>
          <w:kern w:val="2"/>
          <w:sz w:val="24"/>
          <w:szCs w:val="24"/>
          <w:lang w:val="en-US" w:eastAsia="zh-CN" w:bidi="ar-SA"/>
        </w:rPr>
        <w:t>。年中预算调整过大，预算完成率较低。</w:t>
      </w:r>
    </w:p>
    <w:p w14:paraId="32291423">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default" w:ascii="宋体" w:hAnsi="宋体" w:eastAsia="宋体" w:cs="宋体"/>
          <w:b/>
          <w:bCs/>
          <w:kern w:val="2"/>
          <w:sz w:val="24"/>
          <w:szCs w:val="24"/>
          <w:lang w:val="en-US" w:eastAsia="zh-CN" w:bidi="ar"/>
        </w:rPr>
      </w:pPr>
      <w:bookmarkStart w:id="59" w:name="_Toc13095"/>
      <w:r>
        <w:rPr>
          <w:rFonts w:hint="eastAsia" w:ascii="宋体" w:hAnsi="宋体" w:eastAsia="宋体" w:cs="宋体"/>
          <w:b/>
          <w:bCs/>
          <w:kern w:val="2"/>
          <w:sz w:val="24"/>
          <w:szCs w:val="24"/>
          <w:lang w:val="en-US" w:eastAsia="zh-CN" w:bidi="ar"/>
        </w:rPr>
        <w:t>（五）</w:t>
      </w:r>
      <w:r>
        <w:rPr>
          <w:rFonts w:hint="eastAsia" w:ascii="宋体" w:hAnsi="宋体" w:eastAsia="宋体" w:cs="宋体"/>
          <w:b/>
          <w:bCs/>
          <w:kern w:val="2"/>
          <w:sz w:val="24"/>
          <w:szCs w:val="24"/>
          <w:lang w:val="en-US" w:eastAsia="zh" w:bidi="ar"/>
        </w:rPr>
        <w:t>政府采购</w:t>
      </w:r>
      <w:r>
        <w:rPr>
          <w:rFonts w:hint="eastAsia" w:ascii="宋体" w:hAnsi="宋体" w:eastAsia="宋体" w:cs="宋体"/>
          <w:b/>
          <w:bCs/>
          <w:kern w:val="2"/>
          <w:sz w:val="24"/>
          <w:szCs w:val="24"/>
          <w:lang w:val="en-US" w:eastAsia="zh-CN" w:bidi="ar"/>
        </w:rPr>
        <w:t>预算编制不完整</w:t>
      </w:r>
      <w:bookmarkEnd w:id="59"/>
    </w:p>
    <w:p w14:paraId="5C73A56A">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CN" w:bidi="ar-SA"/>
        </w:rPr>
      </w:pPr>
      <w:r>
        <w:rPr>
          <w:rFonts w:hint="eastAsia" w:eastAsia="宋体" w:cs="宋体"/>
          <w:color w:val="000000"/>
          <w:kern w:val="2"/>
          <w:sz w:val="24"/>
          <w:szCs w:val="24"/>
          <w:lang w:val="en-US" w:eastAsia="zh" w:bidi="ar-SA"/>
        </w:rPr>
        <w:t>政府采购预算编制不完整、预算编制数据不准确，市公安局全年政府采购金额为10,065.57万元，年初市公安局仅编制1,204.16万元政府采购预算</w:t>
      </w:r>
      <w:r>
        <w:rPr>
          <w:rFonts w:hint="eastAsia" w:eastAsia="宋体" w:cs="宋体"/>
          <w:color w:val="000000"/>
          <w:kern w:val="2"/>
          <w:sz w:val="24"/>
          <w:szCs w:val="24"/>
          <w:lang w:val="en-US" w:eastAsia="zh-CN" w:bidi="ar-SA"/>
        </w:rPr>
        <w:t>。</w:t>
      </w:r>
    </w:p>
    <w:p w14:paraId="61E13A1B">
      <w:pPr>
        <w:keepNext w:val="0"/>
        <w:keepLines w:val="0"/>
        <w:widowControl w:val="0"/>
        <w:suppressLineNumbers w:val="0"/>
        <w:autoSpaceDE w:val="0"/>
        <w:autoSpaceDN/>
        <w:spacing w:before="10" w:beforeAutospacing="0" w:after="0" w:afterAutospacing="0" w:line="360" w:lineRule="auto"/>
        <w:ind w:right="0" w:firstLine="482" w:firstLineChars="200"/>
        <w:jc w:val="left"/>
        <w:outlineLvl w:val="0"/>
        <w:rPr>
          <w:rFonts w:hint="eastAsia" w:ascii="宋体" w:hAnsi="宋体" w:eastAsia="宋体" w:cs="宋体"/>
          <w:b/>
          <w:bCs/>
          <w:kern w:val="2"/>
          <w:sz w:val="24"/>
          <w:szCs w:val="24"/>
          <w:lang w:val="en-US" w:eastAsia="zh-CN" w:bidi="ar"/>
        </w:rPr>
      </w:pPr>
      <w:bookmarkStart w:id="60" w:name="_Toc5205"/>
      <w:r>
        <w:rPr>
          <w:rFonts w:hint="eastAsia" w:ascii="宋体" w:hAnsi="宋体" w:eastAsia="宋体" w:cs="宋体"/>
          <w:b/>
          <w:bCs/>
          <w:kern w:val="2"/>
          <w:sz w:val="24"/>
          <w:szCs w:val="24"/>
          <w:lang w:val="en-US" w:eastAsia="zh" w:bidi="ar"/>
        </w:rPr>
        <w:t>六、相关建议</w:t>
      </w:r>
      <w:bookmarkEnd w:id="60"/>
    </w:p>
    <w:p w14:paraId="52593DDF">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eastAsia" w:ascii="宋体" w:hAnsi="宋体" w:eastAsia="宋体" w:cs="宋体"/>
          <w:b/>
          <w:bCs/>
          <w:kern w:val="2"/>
          <w:sz w:val="24"/>
          <w:szCs w:val="24"/>
          <w:lang w:val="en-US" w:eastAsia="zh" w:bidi="ar"/>
        </w:rPr>
      </w:pPr>
      <w:bookmarkStart w:id="61" w:name="_Toc2076"/>
      <w:r>
        <w:rPr>
          <w:rFonts w:hint="eastAsia" w:ascii="宋体" w:hAnsi="宋体" w:eastAsia="宋体" w:cs="宋体"/>
          <w:b/>
          <w:bCs/>
          <w:kern w:val="2"/>
          <w:sz w:val="24"/>
          <w:szCs w:val="24"/>
          <w:lang w:val="en-US" w:eastAsia="zh-CN" w:bidi="ar"/>
        </w:rPr>
        <w:t>（一）</w:t>
      </w:r>
      <w:r>
        <w:rPr>
          <w:rFonts w:hint="eastAsia" w:ascii="宋体" w:hAnsi="宋体" w:eastAsia="宋体" w:cs="宋体"/>
          <w:b/>
          <w:bCs/>
          <w:kern w:val="2"/>
          <w:sz w:val="24"/>
          <w:szCs w:val="24"/>
          <w:lang w:val="en-US" w:eastAsia="zh" w:bidi="ar"/>
        </w:rPr>
        <w:t>绩效目标与预算资金匹配性方面</w:t>
      </w:r>
      <w:bookmarkEnd w:id="61"/>
    </w:p>
    <w:p w14:paraId="29945603">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市公安局应加强对绩效目标的设定，绩效</w:t>
      </w:r>
      <w:r>
        <w:rPr>
          <w:rFonts w:hint="default" w:eastAsia="宋体" w:cs="宋体"/>
          <w:color w:val="000000"/>
          <w:kern w:val="2"/>
          <w:sz w:val="24"/>
          <w:szCs w:val="24"/>
          <w:lang w:val="en-US" w:eastAsia="zh" w:bidi="ar-SA"/>
        </w:rPr>
        <w:t>目标要与计划期内的任务数或计划数相对应，与预算确定的投资额或资金量相匹配。</w:t>
      </w:r>
    </w:p>
    <w:p w14:paraId="64944001">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default" w:ascii="宋体" w:hAnsi="宋体" w:eastAsia="宋体" w:cs="宋体"/>
          <w:b/>
          <w:bCs/>
          <w:kern w:val="2"/>
          <w:sz w:val="24"/>
          <w:szCs w:val="24"/>
          <w:lang w:val="en-US" w:eastAsia="zh-CN" w:bidi="ar"/>
        </w:rPr>
      </w:pPr>
      <w:bookmarkStart w:id="62" w:name="_Toc21316"/>
      <w:r>
        <w:rPr>
          <w:rFonts w:hint="eastAsia" w:ascii="宋体" w:hAnsi="宋体" w:eastAsia="宋体" w:cs="宋体"/>
          <w:b/>
          <w:bCs/>
          <w:kern w:val="2"/>
          <w:sz w:val="24"/>
          <w:szCs w:val="24"/>
          <w:lang w:val="en-US" w:eastAsia="zh-CN" w:bidi="ar"/>
        </w:rPr>
        <w:t>（二）人员编制方面</w:t>
      </w:r>
      <w:bookmarkEnd w:id="62"/>
    </w:p>
    <w:p w14:paraId="5E295716">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严格实行编内进人。机关事业单位补充人员必须在编制限额内申报用人计划，严格控制超编进人，实行编制动态调整机制。</w:t>
      </w:r>
    </w:p>
    <w:p w14:paraId="52141D58">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eastAsia" w:ascii="宋体" w:hAnsi="宋体" w:eastAsia="宋体" w:cs="宋体"/>
          <w:b/>
          <w:bCs/>
          <w:kern w:val="2"/>
          <w:sz w:val="24"/>
          <w:szCs w:val="24"/>
          <w:lang w:val="en-US" w:eastAsia="zh" w:bidi="ar"/>
        </w:rPr>
      </w:pPr>
      <w:bookmarkStart w:id="63" w:name="_Toc30977"/>
      <w:r>
        <w:rPr>
          <w:rFonts w:hint="eastAsia" w:ascii="宋体" w:hAnsi="宋体" w:eastAsia="宋体" w:cs="宋体"/>
          <w:b/>
          <w:bCs/>
          <w:kern w:val="2"/>
          <w:sz w:val="24"/>
          <w:szCs w:val="24"/>
          <w:lang w:val="en-US" w:eastAsia="zh-CN" w:bidi="ar"/>
        </w:rPr>
        <w:t>（三）</w:t>
      </w:r>
      <w:r>
        <w:rPr>
          <w:rFonts w:hint="eastAsia" w:ascii="宋体" w:hAnsi="宋体" w:eastAsia="宋体" w:cs="宋体"/>
          <w:b/>
          <w:bCs/>
          <w:kern w:val="2"/>
          <w:sz w:val="24"/>
          <w:szCs w:val="24"/>
          <w:lang w:val="en-US" w:eastAsia="zh" w:bidi="ar"/>
        </w:rPr>
        <w:t>“三公经费”变动率方面</w:t>
      </w:r>
      <w:bookmarkEnd w:id="63"/>
    </w:p>
    <w:p w14:paraId="5A94AF31">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三公经费变动率过大，应强化预算刚性，对“三公”经费严格控制调整追加，完善公务卡使用和结算制度。坚持先有预算后有支出，不符合财政财务制度规定的支出，做到不予报销。</w:t>
      </w:r>
    </w:p>
    <w:p w14:paraId="6D86BBB4">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eastAsia" w:ascii="宋体" w:hAnsi="宋体" w:eastAsia="宋体" w:cs="宋体"/>
          <w:b/>
          <w:bCs/>
          <w:kern w:val="2"/>
          <w:sz w:val="24"/>
          <w:szCs w:val="24"/>
          <w:lang w:val="en-US" w:eastAsia="zh" w:bidi="ar"/>
        </w:rPr>
      </w:pPr>
      <w:bookmarkStart w:id="64" w:name="_Toc16928"/>
      <w:r>
        <w:rPr>
          <w:rFonts w:hint="eastAsia" w:ascii="宋体" w:hAnsi="宋体" w:eastAsia="宋体" w:cs="宋体"/>
          <w:b/>
          <w:bCs/>
          <w:kern w:val="2"/>
          <w:sz w:val="24"/>
          <w:szCs w:val="24"/>
          <w:lang w:val="en-US" w:eastAsia="zh-CN" w:bidi="ar"/>
        </w:rPr>
        <w:t>（四）</w:t>
      </w:r>
      <w:r>
        <w:rPr>
          <w:rFonts w:hint="eastAsia" w:ascii="宋体" w:hAnsi="宋体" w:eastAsia="宋体" w:cs="宋体"/>
          <w:b/>
          <w:bCs/>
          <w:kern w:val="2"/>
          <w:sz w:val="24"/>
          <w:szCs w:val="24"/>
          <w:lang w:val="en-US" w:eastAsia="zh" w:bidi="ar"/>
        </w:rPr>
        <w:t>预算</w:t>
      </w:r>
      <w:r>
        <w:rPr>
          <w:rFonts w:hint="eastAsia" w:ascii="宋体" w:hAnsi="宋体" w:eastAsia="宋体" w:cs="宋体"/>
          <w:b/>
          <w:bCs/>
          <w:kern w:val="2"/>
          <w:sz w:val="24"/>
          <w:szCs w:val="24"/>
          <w:lang w:val="en-US" w:eastAsia="zh-CN" w:bidi="ar"/>
        </w:rPr>
        <w:t>编制方面</w:t>
      </w:r>
      <w:bookmarkEnd w:id="64"/>
    </w:p>
    <w:p w14:paraId="1262B010">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一是提高预算编制的准确性，参照往年收支情况，结合经济社会发展和政策变化等增减变动因素，实事求是、科学合理地编制预算，提高预算执行效率。</w:t>
      </w:r>
    </w:p>
    <w:p w14:paraId="4D3D29A6">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二是应履行好编制本级预算职责，规范预算编制工作，加强对《预算法》的学习，将全部收入纳入预算，确保预算的完整性。</w:t>
      </w:r>
    </w:p>
    <w:p w14:paraId="5D3F6571">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三是要做好编制前的准备工作，政府采购预算是部门预算的重要组成部分，注重对上年度政府采购预算执行情况进行认真审核，深入</w:t>
      </w:r>
      <w:r>
        <w:rPr>
          <w:rFonts w:hint="eastAsia" w:eastAsia="宋体" w:cs="宋体"/>
          <w:color w:val="000000"/>
          <w:kern w:val="2"/>
          <w:sz w:val="24"/>
          <w:szCs w:val="24"/>
          <w:lang w:val="en-US" w:eastAsia="zh-CN" w:bidi="ar-SA"/>
        </w:rPr>
        <w:t>了解</w:t>
      </w:r>
      <w:r>
        <w:rPr>
          <w:rFonts w:hint="eastAsia" w:eastAsia="宋体" w:cs="宋体"/>
          <w:color w:val="000000"/>
          <w:kern w:val="2"/>
          <w:sz w:val="24"/>
          <w:szCs w:val="24"/>
          <w:lang w:val="en-US" w:eastAsia="zh" w:bidi="ar-SA"/>
        </w:rPr>
        <w:t>并</w:t>
      </w:r>
      <w:r>
        <w:rPr>
          <w:rFonts w:hint="eastAsia" w:eastAsia="宋体" w:cs="宋体"/>
          <w:color w:val="000000"/>
          <w:kern w:val="2"/>
          <w:sz w:val="24"/>
          <w:szCs w:val="24"/>
          <w:lang w:val="en-US" w:eastAsia="zh-CN" w:bidi="ar-SA"/>
        </w:rPr>
        <w:t>掌握</w:t>
      </w:r>
      <w:r>
        <w:rPr>
          <w:rFonts w:hint="eastAsia" w:eastAsia="宋体" w:cs="宋体"/>
          <w:color w:val="000000"/>
          <w:kern w:val="2"/>
          <w:sz w:val="24"/>
          <w:szCs w:val="24"/>
          <w:lang w:val="en-US" w:eastAsia="zh" w:bidi="ar-SA"/>
        </w:rPr>
        <w:t>资产情况、管理情况，确保预算编制的严谨性。</w:t>
      </w:r>
    </w:p>
    <w:p w14:paraId="04374FD9">
      <w:pPr>
        <w:keepNext w:val="0"/>
        <w:keepLines w:val="0"/>
        <w:widowControl w:val="0"/>
        <w:suppressLineNumbers w:val="0"/>
        <w:autoSpaceDE w:val="0"/>
        <w:autoSpaceDN/>
        <w:spacing w:before="165" w:beforeLines="50" w:beforeAutospacing="0" w:after="165" w:afterLines="50" w:afterAutospacing="0" w:line="360" w:lineRule="auto"/>
        <w:ind w:left="0" w:right="0" w:firstLine="482" w:firstLineChars="200"/>
        <w:jc w:val="left"/>
        <w:outlineLvl w:val="1"/>
        <w:rPr>
          <w:rFonts w:hint="default" w:ascii="宋体" w:hAnsi="宋体" w:eastAsia="宋体" w:cs="宋体"/>
          <w:b/>
          <w:bCs/>
          <w:kern w:val="2"/>
          <w:sz w:val="24"/>
          <w:szCs w:val="24"/>
          <w:lang w:val="en-US" w:eastAsia="zh-CN" w:bidi="ar"/>
        </w:rPr>
      </w:pPr>
      <w:bookmarkStart w:id="65" w:name="_Toc2032"/>
      <w:r>
        <w:rPr>
          <w:rFonts w:hint="eastAsia" w:ascii="宋体" w:hAnsi="宋体" w:eastAsia="宋体" w:cs="宋体"/>
          <w:b/>
          <w:bCs/>
          <w:kern w:val="2"/>
          <w:sz w:val="24"/>
          <w:szCs w:val="24"/>
          <w:lang w:val="en-US" w:eastAsia="zh-CN" w:bidi="ar"/>
        </w:rPr>
        <w:t>（五）</w:t>
      </w:r>
      <w:r>
        <w:rPr>
          <w:rFonts w:hint="eastAsia" w:ascii="宋体" w:hAnsi="宋体" w:eastAsia="宋体" w:cs="宋体"/>
          <w:b/>
          <w:bCs/>
          <w:kern w:val="2"/>
          <w:sz w:val="24"/>
          <w:szCs w:val="24"/>
          <w:lang w:val="en-US" w:eastAsia="zh" w:bidi="ar"/>
        </w:rPr>
        <w:t>政府采购</w:t>
      </w:r>
      <w:r>
        <w:rPr>
          <w:rFonts w:hint="eastAsia" w:ascii="宋体" w:hAnsi="宋体" w:eastAsia="宋体" w:cs="宋体"/>
          <w:b/>
          <w:bCs/>
          <w:kern w:val="2"/>
          <w:sz w:val="24"/>
          <w:szCs w:val="24"/>
          <w:lang w:val="en-US" w:eastAsia="zh-CN" w:bidi="ar"/>
        </w:rPr>
        <w:t>预算编制方面</w:t>
      </w:r>
      <w:bookmarkEnd w:id="65"/>
    </w:p>
    <w:p w14:paraId="2E1AD558">
      <w:pPr>
        <w:pStyle w:val="4"/>
        <w:keepNext w:val="0"/>
        <w:keepLines w:val="0"/>
        <w:pageBreakBefore w:val="0"/>
        <w:numPr>
          <w:ilvl w:val="0"/>
          <w:numId w:val="0"/>
        </w:numPr>
        <w:suppressLineNumbers w:val="0"/>
        <w:kinsoku/>
        <w:wordWrap/>
        <w:overflowPunct/>
        <w:topLinePunct w:val="0"/>
        <w:autoSpaceDE/>
        <w:autoSpaceDN/>
        <w:bidi w:val="0"/>
        <w:adjustRightInd/>
        <w:snapToGrid/>
        <w:spacing w:before="165" w:beforeLines="50" w:beforeAutospacing="0" w:after="165" w:afterLines="50" w:afterAutospacing="0" w:line="360" w:lineRule="auto"/>
        <w:ind w:left="0" w:right="0" w:firstLine="480" w:firstLineChars="200"/>
        <w:jc w:val="both"/>
        <w:textAlignment w:val="auto"/>
        <w:rPr>
          <w:rFonts w:hint="eastAsia" w:eastAsia="宋体" w:cs="宋体"/>
          <w:color w:val="000000"/>
          <w:kern w:val="2"/>
          <w:sz w:val="24"/>
          <w:szCs w:val="24"/>
          <w:lang w:val="en-US" w:eastAsia="zh" w:bidi="ar-SA"/>
        </w:rPr>
      </w:pPr>
      <w:r>
        <w:rPr>
          <w:rFonts w:hint="eastAsia" w:eastAsia="宋体" w:cs="宋体"/>
          <w:color w:val="000000"/>
          <w:kern w:val="2"/>
          <w:sz w:val="24"/>
          <w:szCs w:val="24"/>
          <w:lang w:val="en-US" w:eastAsia="zh" w:bidi="ar-SA"/>
        </w:rPr>
        <w:t>建议</w:t>
      </w:r>
      <w:r>
        <w:rPr>
          <w:rFonts w:hint="eastAsia" w:eastAsia="宋体" w:cs="宋体"/>
          <w:color w:val="000000"/>
          <w:kern w:val="2"/>
          <w:sz w:val="24"/>
          <w:szCs w:val="24"/>
          <w:lang w:val="en-US" w:eastAsia="zh-CN" w:bidi="ar-SA"/>
        </w:rPr>
        <w:t>市公安局</w:t>
      </w:r>
      <w:r>
        <w:rPr>
          <w:rFonts w:hint="eastAsia" w:eastAsia="宋体" w:cs="宋体"/>
          <w:color w:val="000000"/>
          <w:kern w:val="2"/>
          <w:sz w:val="24"/>
          <w:szCs w:val="24"/>
          <w:lang w:val="en-US" w:eastAsia="zh" w:bidi="ar-SA"/>
        </w:rPr>
        <w:t>严格按照《中华人民共和国政府采购法》执行，将政府采购纳入预算管理。</w:t>
      </w:r>
    </w:p>
    <w:p w14:paraId="16965BAD">
      <w:pPr>
        <w:pStyle w:val="9"/>
        <w:keepNext w:val="0"/>
        <w:keepLines w:val="0"/>
        <w:widowControl/>
        <w:suppressLineNumbers w:val="0"/>
        <w:autoSpaceDE w:val="0"/>
        <w:autoSpaceDN/>
        <w:spacing w:before="165" w:beforeLines="50" w:beforeAutospacing="0" w:after="165" w:afterLines="50" w:afterAutospacing="0" w:line="360" w:lineRule="auto"/>
        <w:ind w:left="0" w:right="0" w:firstLine="482" w:firstLineChars="200"/>
        <w:jc w:val="left"/>
        <w:outlineLvl w:val="0"/>
        <w:rPr>
          <w:rFonts w:hint="eastAsia" w:ascii="宋体" w:hAnsi="宋体" w:eastAsia="宋体" w:cs="宋体"/>
          <w:b/>
          <w:bCs/>
          <w:i w:val="0"/>
          <w:iCs w:val="0"/>
          <w:caps w:val="0"/>
          <w:color w:val="000000"/>
          <w:spacing w:val="0"/>
          <w:kern w:val="0"/>
          <w:sz w:val="24"/>
          <w:szCs w:val="24"/>
        </w:rPr>
      </w:pPr>
      <w:bookmarkStart w:id="66" w:name="_Toc7691"/>
      <w:bookmarkStart w:id="67" w:name="_Toc8807"/>
      <w:r>
        <w:rPr>
          <w:rFonts w:hint="eastAsia" w:ascii="宋体" w:hAnsi="宋体" w:eastAsia="宋体" w:cs="宋体"/>
          <w:b/>
          <w:bCs/>
          <w:i w:val="0"/>
          <w:iCs w:val="0"/>
          <w:caps w:val="0"/>
          <w:color w:val="000000"/>
          <w:spacing w:val="0"/>
          <w:kern w:val="0"/>
          <w:sz w:val="24"/>
          <w:szCs w:val="24"/>
          <w:lang w:val="en-US" w:eastAsia="zh-CN" w:bidi="ar"/>
        </w:rPr>
        <w:t>附件：</w:t>
      </w:r>
      <w:r>
        <w:rPr>
          <w:rFonts w:hint="eastAsia" w:ascii="宋体" w:hAnsi="宋体" w:eastAsia="宋体" w:cs="宋体"/>
          <w:b/>
          <w:bCs/>
          <w:color w:val="000000"/>
          <w:kern w:val="2"/>
          <w:sz w:val="24"/>
          <w:szCs w:val="24"/>
          <w:lang w:val="en-US" w:eastAsia="zh-CN" w:bidi="ar"/>
        </w:rPr>
        <w:t>绩效评价指标体系框架打分表</w:t>
      </w:r>
      <w:bookmarkEnd w:id="66"/>
      <w:bookmarkEnd w:id="67"/>
    </w:p>
    <w:p w14:paraId="22F9F6E4">
      <w:pPr>
        <w:keepNext w:val="0"/>
        <w:keepLines w:val="0"/>
        <w:widowControl w:val="0"/>
        <w:suppressLineNumbers w:val="0"/>
        <w:spacing w:before="0" w:beforeAutospacing="0" w:after="0" w:afterAutospacing="0" w:line="360" w:lineRule="auto"/>
        <w:ind w:left="0" w:right="0" w:firstLine="600" w:firstLineChars="250"/>
        <w:jc w:val="both"/>
        <w:rPr>
          <w:rFonts w:hint="default" w:ascii="宋体" w:hAnsi="宋体" w:eastAsia="宋体" w:cs="宋体"/>
          <w:color w:val="000000"/>
          <w:kern w:val="2"/>
          <w:sz w:val="24"/>
          <w:szCs w:val="24"/>
          <w:lang w:val="en-US" w:eastAsia="zh-CN" w:bidi="ar"/>
        </w:rPr>
      </w:pPr>
    </w:p>
    <w:p w14:paraId="20675E2C">
      <w:pPr>
        <w:keepNext w:val="0"/>
        <w:keepLines w:val="0"/>
        <w:widowControl w:val="0"/>
        <w:suppressLineNumbers w:val="0"/>
        <w:spacing w:before="0" w:beforeAutospacing="0" w:after="0" w:afterAutospacing="0" w:line="360" w:lineRule="auto"/>
        <w:ind w:left="0" w:right="0" w:firstLine="602" w:firstLineChars="250"/>
        <w:jc w:val="both"/>
        <w:rPr>
          <w:rFonts w:hint="default" w:ascii="宋体" w:hAnsi="宋体" w:eastAsia="宋体" w:cs="宋体"/>
          <w:b/>
          <w:bCs/>
          <w:color w:val="000000"/>
          <w:kern w:val="2"/>
          <w:sz w:val="24"/>
          <w:szCs w:val="24"/>
          <w:lang w:val="en-US" w:eastAsia="zh-CN" w:bidi="ar"/>
        </w:rPr>
      </w:pPr>
      <w:r>
        <w:rPr>
          <w:rFonts w:hint="eastAsia" w:ascii="宋体" w:hAnsi="宋体" w:eastAsia="宋体" w:cs="宋体"/>
          <w:b/>
          <w:bCs/>
          <w:color w:val="000000"/>
          <w:kern w:val="2"/>
          <w:sz w:val="24"/>
          <w:szCs w:val="24"/>
          <w:lang w:val="en-US" w:eastAsia="zh-CN" w:bidi="ar"/>
        </w:rPr>
        <w:t>（此页无正文）</w:t>
      </w:r>
    </w:p>
    <w:p w14:paraId="695DDAEC">
      <w:pPr>
        <w:keepNext w:val="0"/>
        <w:keepLines w:val="0"/>
        <w:widowControl w:val="0"/>
        <w:suppressLineNumbers w:val="0"/>
        <w:spacing w:before="0" w:beforeAutospacing="0" w:after="0" w:afterAutospacing="0" w:line="360" w:lineRule="auto"/>
        <w:ind w:left="0" w:right="0" w:firstLine="600" w:firstLineChars="250"/>
        <w:jc w:val="righ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陕西丰汇韵嘉会计师事务所合伙企业       </w:t>
      </w:r>
    </w:p>
    <w:p w14:paraId="33D25772">
      <w:pPr>
        <w:keepNext w:val="0"/>
        <w:keepLines w:val="0"/>
        <w:widowControl w:val="0"/>
        <w:suppressLineNumbers w:val="0"/>
        <w:spacing w:before="0" w:beforeAutospacing="0" w:after="0" w:afterAutospacing="0" w:line="360" w:lineRule="auto"/>
        <w:ind w:left="0" w:right="0" w:firstLine="1320" w:firstLineChars="55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（普通合伙）                           </w:t>
      </w:r>
    </w:p>
    <w:p w14:paraId="47C8EA1B">
      <w:pPr>
        <w:keepNext w:val="0"/>
        <w:keepLines w:val="0"/>
        <w:widowControl w:val="0"/>
        <w:suppressLineNumbers w:val="0"/>
        <w:spacing w:before="0" w:beforeAutospacing="0" w:after="0" w:afterAutospacing="0" w:line="360" w:lineRule="auto"/>
        <w:ind w:left="0" w:right="0"/>
        <w:jc w:val="righ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2B19D4E1">
      <w:pPr>
        <w:keepNext w:val="0"/>
        <w:keepLines w:val="0"/>
        <w:widowControl w:val="0"/>
        <w:suppressLineNumbers w:val="0"/>
        <w:spacing w:before="0" w:beforeAutospacing="0" w:after="0" w:afterAutospacing="0" w:line="360" w:lineRule="auto"/>
        <w:ind w:left="0" w:right="0" w:firstLine="5520" w:firstLineChars="2300"/>
        <w:jc w:val="righ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24E286A0">
      <w:pPr>
        <w:pStyle w:val="5"/>
        <w:widowControl/>
        <w:spacing w:line="360" w:lineRule="auto"/>
        <w:jc w:val="right"/>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 xml:space="preserve"> </w:t>
      </w:r>
    </w:p>
    <w:p w14:paraId="2FD62E6D">
      <w:pPr>
        <w:keepNext w:val="0"/>
        <w:keepLines w:val="0"/>
        <w:pageBreakBefore w:val="0"/>
        <w:numPr>
          <w:ilvl w:val="-1"/>
          <w:numId w:val="0"/>
        </w:numPr>
        <w:kinsoku/>
        <w:wordWrap/>
        <w:overflowPunct/>
        <w:topLinePunct w:val="0"/>
        <w:autoSpaceDE/>
        <w:autoSpaceDN/>
        <w:bidi w:val="0"/>
        <w:adjustRightInd/>
        <w:snapToGrid/>
        <w:spacing w:line="360" w:lineRule="auto"/>
        <w:ind w:right="480" w:firstLine="600" w:firstLineChars="250"/>
        <w:jc w:val="center"/>
        <w:rPr>
          <w:rFonts w:hint="eastAsia" w:ascii="宋体" w:hAnsi="宋体" w:eastAsia="宋体" w:cs="宋体"/>
          <w:sz w:val="24"/>
          <w:szCs w:val="24"/>
          <w:lang w:val="en-US" w:eastAsia="zh-CN"/>
        </w:rPr>
      </w:pPr>
      <w:r>
        <w:rPr>
          <w:rFonts w:hint="eastAsia" w:ascii="宋体" w:hAnsi="宋体" w:eastAsia="宋体" w:cs="宋体"/>
          <w:color w:val="000000"/>
          <w:kern w:val="2"/>
          <w:sz w:val="24"/>
          <w:szCs w:val="24"/>
          <w:lang w:val="en-US" w:eastAsia="zh-CN" w:bidi="ar"/>
        </w:rPr>
        <w:t xml:space="preserve">                                          二○二四年六月四日</w:t>
      </w:r>
    </w:p>
    <w:sectPr>
      <w:footerReference r:id="rId6" w:type="default"/>
      <w:pgSz w:w="11906" w:h="16838"/>
      <w:pgMar w:top="1497" w:right="1417" w:bottom="1106" w:left="1638" w:header="170" w:footer="567"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5AF08">
    <w:pPr>
      <w:jc w:val="left"/>
      <w:rPr>
        <w:rFonts w:hint="eastAsia" w:ascii="等线" w:hAnsi="等线" w:eastAsia="等线"/>
        <w:b/>
        <w:sz w:val="24"/>
      </w:rPr>
    </w:pPr>
    <w:r>
      <w:rPr>
        <w:rFonts w:hint="eastAsia" w:ascii="等线" w:hAnsi="等线" w:eastAsia="等线"/>
        <w:b/>
        <w:sz w:val="24"/>
      </w:rPr>
      <mc:AlternateContent>
        <mc:Choice Requires="wps">
          <w:drawing>
            <wp:anchor distT="0" distB="0" distL="114300" distR="114300" simplePos="0" relativeHeight="251660288" behindDoc="0" locked="0" layoutInCell="1" allowOverlap="1">
              <wp:simplePos x="0" y="0"/>
              <wp:positionH relativeFrom="column">
                <wp:posOffset>-51435</wp:posOffset>
              </wp:positionH>
              <wp:positionV relativeFrom="paragraph">
                <wp:posOffset>135255</wp:posOffset>
              </wp:positionV>
              <wp:extent cx="5839460" cy="0"/>
              <wp:effectExtent l="0" t="4445" r="0" b="5080"/>
              <wp:wrapNone/>
              <wp:docPr id="4" name="直接箭头连接符 4"/>
              <wp:cNvGraphicFramePr/>
              <a:graphic xmlns:a="http://schemas.openxmlformats.org/drawingml/2006/main">
                <a:graphicData uri="http://schemas.microsoft.com/office/word/2010/wordprocessingShape">
                  <wps:wsp>
                    <wps:cNvCnPr/>
                    <wps:spPr>
                      <a:xfrm>
                        <a:off x="0" y="0"/>
                        <a:ext cx="583946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05pt;margin-top:10.65pt;height:0pt;width:459.8pt;z-index:251660288;mso-width-relative:page;mso-height-relative:page;" filled="f" stroked="t" coordsize="21600,21600" o:gfxdata="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vsGx3WAAAACAEAAA8AAAAAAAAAAQAgAAAAIgAAAGRycy9kb3ducmV2&#10;LnhtbFBLAQIUABQAAAAIAIdO4kAFC21G/gEAAOwDAAAOAAAAAAAAAAEAIAAAACUBAABkcnMvZTJv&#10;RG9jLnhtbFBLBQYAAAAABgAGAFkBAACVBQAAAAA=&#10;">
              <v:fill on="f" focussize="0,0"/>
              <v:stroke color="#000000" joinstyle="round"/>
              <v:imagedata o:title=""/>
              <o:lock v:ext="edit" aspectratio="f"/>
            </v:shape>
          </w:pict>
        </mc:Fallback>
      </mc:AlternateContent>
    </w:r>
  </w:p>
  <w:p w14:paraId="2C261E56">
    <w:pPr>
      <w:pStyle w:val="5"/>
      <w:tabs>
        <w:tab w:val="center" w:pos="4153"/>
        <w:tab w:val="right" w:pos="8306"/>
      </w:tabs>
      <w:rPr>
        <w:rFonts w:hint="eastAsia"/>
      </w:rPr>
    </w:pPr>
    <w:r>
      <w:rPr>
        <w:rFonts w:hint="eastAsia" w:ascii="等线" w:hAnsi="等线" w:eastAsia="等线"/>
        <w:sz w:val="24"/>
      </w:rPr>
      <w:t xml:space="preserve">地址：陕西省西安市碑林区长安北路永宁国际13楼1308室      </w:t>
    </w:r>
    <w:r>
      <w:rPr>
        <w:rFonts w:ascii="等线" w:hAnsi="等线" w:eastAsia="等线"/>
        <w:sz w:val="24"/>
      </w:rPr>
      <w:t>电话029-68976696</w:t>
    </w:r>
  </w:p>
  <w:p w14:paraId="4239826C">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73F52">
    <w:pPr>
      <w:jc w:val="left"/>
      <w:rPr>
        <w:rFonts w:hint="eastAsia" w:ascii="等线" w:hAnsi="等线" w:eastAsia="等线"/>
        <w:b/>
        <w:sz w:val="24"/>
      </w:rPr>
    </w:pPr>
    <w:r>
      <w:rPr>
        <w:rFonts w:hint="eastAsia" w:ascii="等线" w:hAnsi="等线" w:eastAsia="等线"/>
        <w:b/>
        <w:sz w:val="24"/>
      </w:rPr>
      <mc:AlternateContent>
        <mc:Choice Requires="wps">
          <w:drawing>
            <wp:anchor distT="0" distB="0" distL="114300" distR="114300" simplePos="0" relativeHeight="251661312" behindDoc="0" locked="0" layoutInCell="1" allowOverlap="1">
              <wp:simplePos x="0" y="0"/>
              <wp:positionH relativeFrom="column">
                <wp:posOffset>-51435</wp:posOffset>
              </wp:positionH>
              <wp:positionV relativeFrom="paragraph">
                <wp:posOffset>135255</wp:posOffset>
              </wp:positionV>
              <wp:extent cx="5839460" cy="0"/>
              <wp:effectExtent l="0" t="4445" r="0" b="5080"/>
              <wp:wrapNone/>
              <wp:docPr id="5" name="直接箭头连接符 5"/>
              <wp:cNvGraphicFramePr/>
              <a:graphic xmlns:a="http://schemas.openxmlformats.org/drawingml/2006/main">
                <a:graphicData uri="http://schemas.microsoft.com/office/word/2010/wordprocessingShape">
                  <wps:wsp>
                    <wps:cNvCnPr/>
                    <wps:spPr>
                      <a:xfrm>
                        <a:off x="0" y="0"/>
                        <a:ext cx="583946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05pt;margin-top:10.65pt;height:0pt;width:459.8pt;z-index:251661312;mso-width-relative:page;mso-height-relative:page;" filled="f" stroked="t" coordsize="21600,21600" o:gfxdata="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vsGx3WAAAACAEAAA8AAAAAAAAAAQAgAAAAIgAAAGRycy9kb3ducmV2&#10;LnhtbFBLAQIUABQAAAAIAIdO4kBhHM7d/gEAAOwDAAAOAAAAAAAAAAEAIAAAACUBAABkcnMvZTJv&#10;RG9jLnhtbFBLBQYAAAAABgAGAFkBAACVBQAAAAA=&#10;">
              <v:fill on="f" focussize="0,0"/>
              <v:stroke color="#000000" joinstyle="round"/>
              <v:imagedata o:title=""/>
              <o:lock v:ext="edit" aspectratio="f"/>
            </v:shape>
          </w:pict>
        </mc:Fallback>
      </mc:AlternateContent>
    </w:r>
  </w:p>
  <w:p w14:paraId="1A27C229">
    <w:pPr>
      <w:pStyle w:val="5"/>
      <w:tabs>
        <w:tab w:val="center" w:pos="4153"/>
        <w:tab w:val="right" w:pos="8306"/>
      </w:tabs>
      <w:rPr>
        <w:rFonts w:hint="eastAsia"/>
      </w:rPr>
    </w:pPr>
    <w:r>
      <w:rPr>
        <w:rFonts w:hint="eastAsia" w:ascii="等线" w:hAnsi="等线" w:eastAsia="等线"/>
        <w:sz w:val="24"/>
      </w:rPr>
      <w:t xml:space="preserve">地址：陕西省西安市碑林区长安北路永宁国际13楼1308室      </w:t>
    </w:r>
    <w:r>
      <w:rPr>
        <w:rFonts w:ascii="等线" w:hAnsi="等线" w:eastAsia="等线"/>
        <w:sz w:val="24"/>
      </w:rPr>
      <w:t>电话029-68976696</w:t>
    </w:r>
  </w:p>
  <w:p w14:paraId="59986054">
    <w:pPr>
      <w:pStyle w:val="5"/>
      <w:tabs>
        <w:tab w:val="right" w:pos="8306"/>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41681">
    <w:pPr>
      <w:jc w:val="left"/>
      <w:rPr>
        <w:rFonts w:hint="eastAsia" w:ascii="等线" w:hAnsi="等线" w:eastAsia="等线"/>
        <w:b/>
        <w:sz w:val="24"/>
      </w:rPr>
    </w:pPr>
    <w:r>
      <w:rPr>
        <w:rFonts w:hint="eastAsia" w:ascii="等线" w:hAnsi="等线" w:eastAsia="等线"/>
        <w:b/>
        <w:sz w:val="24"/>
      </w:rPr>
      <mc:AlternateContent>
        <mc:Choice Requires="wps">
          <w:drawing>
            <wp:anchor distT="0" distB="0" distL="114300" distR="114300" simplePos="0" relativeHeight="251662336" behindDoc="0" locked="0" layoutInCell="1" allowOverlap="1">
              <wp:simplePos x="0" y="0"/>
              <wp:positionH relativeFrom="column">
                <wp:posOffset>-51435</wp:posOffset>
              </wp:positionH>
              <wp:positionV relativeFrom="paragraph">
                <wp:posOffset>135255</wp:posOffset>
              </wp:positionV>
              <wp:extent cx="5839460" cy="0"/>
              <wp:effectExtent l="0" t="4445" r="0" b="5080"/>
              <wp:wrapNone/>
              <wp:docPr id="1" name="直接箭头连接符 1"/>
              <wp:cNvGraphicFramePr/>
              <a:graphic xmlns:a="http://schemas.openxmlformats.org/drawingml/2006/main">
                <a:graphicData uri="http://schemas.microsoft.com/office/word/2010/wordprocessingShape">
                  <wps:wsp>
                    <wps:cNvCnPr/>
                    <wps:spPr>
                      <a:xfrm>
                        <a:off x="0" y="0"/>
                        <a:ext cx="583946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05pt;margin-top:10.65pt;height:0pt;width:459.8pt;z-index:251662336;mso-width-relative:page;mso-height-relative:page;" filled="f" stroked="t" coordsize="21600,21600" o:gfxdata="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wbHdYAAAAIAQAADwAAAAAAAAABACAAAAAiAAAAZHJzL2Rvd25yZXYu&#10;eG1sUEsBAhQAFAAAAAgAh07iQDJL0d79AQAA7AMAAA4AAAAAAAAAAQAgAAAAJQEAAGRycy9lMm9E&#10;b2MueG1sUEsFBgAAAAAGAAYAWQEAAJQFAAAAAA==&#10;">
              <v:fill on="f" focussize="0,0"/>
              <v:stroke color="#000000" joinstyle="round"/>
              <v:imagedata o:title=""/>
              <o:lock v:ext="edit" aspectratio="f"/>
            </v:shape>
          </w:pict>
        </mc:Fallback>
      </mc:AlternateContent>
    </w:r>
  </w:p>
  <w:p w14:paraId="649F123C">
    <w:pPr>
      <w:pStyle w:val="5"/>
      <w:tabs>
        <w:tab w:val="center" w:pos="4153"/>
        <w:tab w:val="right" w:pos="8306"/>
      </w:tabs>
      <w:rPr>
        <w:rFonts w:hint="eastAsia"/>
      </w:rPr>
    </w:pPr>
    <w:r>
      <w:rPr>
        <w:sz w:val="24"/>
      </w:rPr>
      <mc:AlternateContent>
        <mc:Choice Requires="wps">
          <w:drawing>
            <wp:anchor distT="0" distB="0" distL="114300" distR="114300" simplePos="0" relativeHeight="251663360" behindDoc="0" locked="0" layoutInCell="1" allowOverlap="1">
              <wp:simplePos x="0" y="0"/>
              <wp:positionH relativeFrom="margin">
                <wp:posOffset>2796540</wp:posOffset>
              </wp:positionH>
              <wp:positionV relativeFrom="paragraph">
                <wp:posOffset>205105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4F7308">
                          <w:pPr>
                            <w:pStyle w:val="5"/>
                            <w:tabs>
                              <w:tab w:val="center" w:pos="4153"/>
                              <w:tab w:val="right" w:pos="8306"/>
                            </w:tabs>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0.2pt;margin-top:16.15pt;height:144pt;width:144pt;mso-position-horizontal-relative:margin;mso-wrap-style:none;z-index:251663360;mso-width-relative:page;mso-height-relative:page;" filled="f" stroked="f" coordsize="21600,21600" o:gfxdata="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cjl/U1gAAAAoBAAAPAAAAAAAAAAEAIAAAACIAAABkcnMvZG93bnJldi54bWxQ&#10;SwECFAAUAAAACACHTuJA9YuHZDICAABhBAAADgAAAAAAAAABACAAAAAlAQAAZHJzL2Uyb0RvYy54&#10;bWxQSwUGAAAAAAYABgBZAQAAyQUAAAAA&#10;">
              <v:fill on="f" focussize="0,0"/>
              <v:stroke on="f" weight="0.5pt"/>
              <v:imagedata o:title=""/>
              <o:lock v:ext="edit" aspectratio="f"/>
              <v:textbox inset="0mm,0mm,0mm,0mm" style="mso-fit-shape-to-text:t;">
                <w:txbxContent>
                  <w:p w14:paraId="044F7308">
                    <w:pPr>
                      <w:pStyle w:val="5"/>
                      <w:tabs>
                        <w:tab w:val="center" w:pos="4153"/>
                        <w:tab w:val="right" w:pos="8306"/>
                      </w:tabs>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等线" w:hAnsi="等线" w:eastAsia="等线"/>
        <w:sz w:val="24"/>
      </w:rPr>
      <w:t xml:space="preserve">地址：陕西省西安市碑林区长安北路永宁国际13楼1308室      </w:t>
    </w:r>
    <w:r>
      <w:rPr>
        <w:rFonts w:ascii="等线" w:hAnsi="等线" w:eastAsia="等线"/>
        <w:sz w:val="24"/>
      </w:rPr>
      <w:t>电话029-68976696</w:t>
    </w:r>
  </w:p>
  <w:p w14:paraId="0E7BD97E">
    <w:pPr>
      <w:pStyle w:val="5"/>
      <w:tabs>
        <w:tab w:val="right" w:pos="8306"/>
      </w:tabs>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84690">
    <w:pPr>
      <w:spacing w:line="240" w:lineRule="atLeast"/>
      <w:ind w:right="210"/>
      <w:jc w:val="right"/>
      <w:rPr>
        <w:rFonts w:hint="eastAsia" w:ascii="微软雅黑" w:hAnsi="微软雅黑" w:eastAsia="微软雅黑"/>
        <w:i/>
        <w:szCs w:val="21"/>
      </w:rPr>
    </w:pPr>
  </w:p>
  <w:p w14:paraId="5487D451">
    <w:pPr>
      <w:spacing w:line="240" w:lineRule="atLeast"/>
      <w:ind w:right="210"/>
      <w:jc w:val="right"/>
      <w:rPr>
        <w:rFonts w:hint="eastAsia" w:ascii="微软雅黑" w:hAnsi="微软雅黑" w:eastAsia="微软雅黑"/>
        <w:i/>
        <w:szCs w:val="21"/>
      </w:rPr>
    </w:pPr>
    <w:r>
      <w:rPr>
        <w:rFonts w:hint="eastAsia" w:ascii="微软雅黑" w:hAnsi="微软雅黑" w:eastAsia="微软雅黑"/>
        <w:i/>
        <w:szCs w:val="21"/>
      </w:rPr>
      <w:t xml:space="preserve">                                 </w:t>
    </w:r>
    <w:r>
      <w:rPr>
        <w:rFonts w:ascii="微软雅黑" w:hAnsi="微软雅黑" w:eastAsia="微软雅黑"/>
        <w:i/>
        <w:szCs w:val="21"/>
      </w:rPr>
      <w:t>陕西丰汇韵嘉会计师事务所合伙企业（普通合伙）</w:t>
    </w:r>
  </w:p>
  <w:p w14:paraId="73FF1235">
    <w:pPr>
      <w:spacing w:line="240" w:lineRule="atLeast"/>
      <w:ind w:right="210"/>
      <w:jc w:val="right"/>
    </w:pPr>
    <w:r>
      <w:drawing>
        <wp:anchor distT="0" distB="0" distL="114300" distR="114300" simplePos="0" relativeHeight="251664384" behindDoc="1" locked="0" layoutInCell="1" allowOverlap="1">
          <wp:simplePos x="0" y="0"/>
          <wp:positionH relativeFrom="column">
            <wp:posOffset>228600</wp:posOffset>
          </wp:positionH>
          <wp:positionV relativeFrom="paragraph">
            <wp:posOffset>-429260</wp:posOffset>
          </wp:positionV>
          <wp:extent cx="575945" cy="575945"/>
          <wp:effectExtent l="0" t="0" r="3175" b="3175"/>
          <wp:wrapSquare wrapText="bothSides"/>
          <wp:docPr id="6" name="图片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25"/>
                  <pic:cNvPicPr>
                    <a:picLocks noChangeAspect="1"/>
                  </pic:cNvPicPr>
                </pic:nvPicPr>
                <pic:blipFill>
                  <a:blip r:embed="rId1"/>
                  <a:stretch>
                    <a:fillRect/>
                  </a:stretch>
                </pic:blipFill>
                <pic:spPr>
                  <a:xfrm>
                    <a:off x="0" y="0"/>
                    <a:ext cx="575945" cy="575945"/>
                  </a:xfrm>
                  <a:prstGeom prst="rect">
                    <a:avLst/>
                  </a:prstGeom>
                  <a:noFill/>
                  <a:ln>
                    <a:noFill/>
                  </a:ln>
                </pic:spPr>
              </pic:pic>
            </a:graphicData>
          </a:graphic>
        </wp:anchor>
      </w:drawing>
    </w:r>
    <w:r>
      <w:rPr>
        <w:rFonts w:ascii="微软雅黑" w:hAnsi="微软雅黑" w:eastAsia="微软雅黑"/>
        <w:i/>
        <w:szCs w:val="21"/>
      </w:rPr>
      <w:t>S</w:t>
    </w:r>
    <w:r>
      <w:rPr>
        <w:rFonts w:hint="eastAsia" w:ascii="微软雅黑" w:hAnsi="微软雅黑" w:eastAsia="微软雅黑"/>
        <w:i/>
        <w:szCs w:val="21"/>
      </w:rPr>
      <w:t>HAANXI</w:t>
    </w:r>
    <w:r>
      <w:rPr>
        <w:rFonts w:ascii="微软雅黑" w:hAnsi="微软雅黑" w:eastAsia="微软雅黑"/>
        <w:i/>
        <w:szCs w:val="21"/>
      </w:rPr>
      <w:t>F</w:t>
    </w:r>
    <w:r>
      <w:rPr>
        <w:rFonts w:hint="eastAsia" w:ascii="微软雅黑" w:hAnsi="微软雅黑" w:eastAsia="微软雅黑"/>
        <w:i/>
        <w:szCs w:val="21"/>
      </w:rPr>
      <w:t>ENGHUIYUNJIAC.P.A</w:t>
    </w:r>
    <w:r>
      <w:rPr>
        <w:rFonts w:ascii="微软雅黑" w:hAnsi="微软雅黑" w:eastAsia="微软雅黑"/>
        <w:i/>
        <w:szCs w:val="21"/>
      </w:rPr>
      <w:t>P</w:t>
    </w:r>
    <w:r>
      <w:rPr>
        <w:rFonts w:hint="eastAsia" w:ascii="微软雅黑" w:hAnsi="微软雅黑" w:eastAsia="微软雅黑"/>
        <w:i/>
        <w:szCs w:val="21"/>
      </w:rPr>
      <w:t>ARTNERSHIP</w:t>
    </w:r>
  </w:p>
  <w:p w14:paraId="393D6BAF">
    <w:pPr>
      <w:pStyle w:val="6"/>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column">
                <wp:posOffset>-29845</wp:posOffset>
              </wp:positionH>
              <wp:positionV relativeFrom="paragraph">
                <wp:posOffset>24765</wp:posOffset>
              </wp:positionV>
              <wp:extent cx="5931535" cy="0"/>
              <wp:effectExtent l="0" t="4445" r="0" b="5080"/>
              <wp:wrapNone/>
              <wp:docPr id="3" name="直接箭头连接符 3"/>
              <wp:cNvGraphicFramePr/>
              <a:graphic xmlns:a="http://schemas.openxmlformats.org/drawingml/2006/main">
                <a:graphicData uri="http://schemas.microsoft.com/office/word/2010/wordprocessingShape">
                  <wps:wsp>
                    <wps:cNvCnPr/>
                    <wps:spPr>
                      <a:xfrm>
                        <a:off x="0" y="0"/>
                        <a:ext cx="593153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35pt;margin-top:1.95pt;height:0pt;width:467.05pt;z-index:251659264;mso-width-relative:page;mso-height-relative:page;" filled="f" stroked="t" coordsize="21600,21600" o:gfxdata="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vYUiI1QAAAAYBAAAPAAAAAAAAAAEAIAAAACIAAABkcnMvZG93bnJldi54&#10;bWxQSwECFAAUAAAACACHTuJAfpdgXP0BAADsAwAADgAAAAAAAAABACAAAAAkAQAAZHJzL2Uyb0Rv&#10;Yy54bWxQSwUGAAAAAAYABgBZAQAAkwUAAAAA&#10;">
              <v:fill on="f" focussize="0,0"/>
              <v:stroke color="#000000" joinstyle="round"/>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zOTc3NmI3NDI4MmM0NWM2OTEyYjlkZjcxYzA2MjkifQ=="/>
  </w:docVars>
  <w:rsids>
    <w:rsidRoot w:val="634E4307"/>
    <w:rsid w:val="00330CCA"/>
    <w:rsid w:val="00B20DF2"/>
    <w:rsid w:val="01BE01F7"/>
    <w:rsid w:val="02B602BB"/>
    <w:rsid w:val="070712DD"/>
    <w:rsid w:val="07703931"/>
    <w:rsid w:val="08487BCE"/>
    <w:rsid w:val="087D0028"/>
    <w:rsid w:val="09D3AF1F"/>
    <w:rsid w:val="0EDF5D26"/>
    <w:rsid w:val="10652B56"/>
    <w:rsid w:val="10FF6847"/>
    <w:rsid w:val="177A721B"/>
    <w:rsid w:val="18635105"/>
    <w:rsid w:val="1A513E66"/>
    <w:rsid w:val="1AE90485"/>
    <w:rsid w:val="1FAF670B"/>
    <w:rsid w:val="23E74C1A"/>
    <w:rsid w:val="248E33D1"/>
    <w:rsid w:val="24BBA369"/>
    <w:rsid w:val="24C77F35"/>
    <w:rsid w:val="24FE9974"/>
    <w:rsid w:val="26EF429E"/>
    <w:rsid w:val="2815563F"/>
    <w:rsid w:val="29F82807"/>
    <w:rsid w:val="2B6D62EF"/>
    <w:rsid w:val="2FBC0DE7"/>
    <w:rsid w:val="30A73388"/>
    <w:rsid w:val="30CA692F"/>
    <w:rsid w:val="31B55D3B"/>
    <w:rsid w:val="329D69FD"/>
    <w:rsid w:val="35F65CEF"/>
    <w:rsid w:val="36257395"/>
    <w:rsid w:val="37237170"/>
    <w:rsid w:val="37AB5105"/>
    <w:rsid w:val="37DC7F27"/>
    <w:rsid w:val="37FD78AB"/>
    <w:rsid w:val="387E2919"/>
    <w:rsid w:val="39DED222"/>
    <w:rsid w:val="3A4B1463"/>
    <w:rsid w:val="3AC936B7"/>
    <w:rsid w:val="3AFFFC14"/>
    <w:rsid w:val="3B750785"/>
    <w:rsid w:val="3BAD4AA8"/>
    <w:rsid w:val="3BDF1D94"/>
    <w:rsid w:val="3D5346AD"/>
    <w:rsid w:val="3DFCEC2B"/>
    <w:rsid w:val="3E1BB404"/>
    <w:rsid w:val="3FB7705F"/>
    <w:rsid w:val="3FE3BB42"/>
    <w:rsid w:val="3FED8EAD"/>
    <w:rsid w:val="3FF413C9"/>
    <w:rsid w:val="41B96BE3"/>
    <w:rsid w:val="49BDDA60"/>
    <w:rsid w:val="4A593593"/>
    <w:rsid w:val="4B700C5B"/>
    <w:rsid w:val="4CCE3E8B"/>
    <w:rsid w:val="4D03305A"/>
    <w:rsid w:val="4D8D4156"/>
    <w:rsid w:val="4DD76CB2"/>
    <w:rsid w:val="4EFB6951"/>
    <w:rsid w:val="5097022C"/>
    <w:rsid w:val="51175FF6"/>
    <w:rsid w:val="53395A7F"/>
    <w:rsid w:val="53753813"/>
    <w:rsid w:val="54994B1F"/>
    <w:rsid w:val="56804B4A"/>
    <w:rsid w:val="58F5E822"/>
    <w:rsid w:val="5BF97BD2"/>
    <w:rsid w:val="5CDFC89B"/>
    <w:rsid w:val="5DFEA14D"/>
    <w:rsid w:val="5DFFAC1A"/>
    <w:rsid w:val="5F1D62E5"/>
    <w:rsid w:val="60E35E5E"/>
    <w:rsid w:val="627D779C"/>
    <w:rsid w:val="629F0278"/>
    <w:rsid w:val="62E36287"/>
    <w:rsid w:val="634E4307"/>
    <w:rsid w:val="675039C2"/>
    <w:rsid w:val="67D363A2"/>
    <w:rsid w:val="68CE210C"/>
    <w:rsid w:val="6E076DA5"/>
    <w:rsid w:val="6E171B75"/>
    <w:rsid w:val="6EE84D85"/>
    <w:rsid w:val="6EFD847C"/>
    <w:rsid w:val="73E92D4C"/>
    <w:rsid w:val="75B34212"/>
    <w:rsid w:val="77AF20F1"/>
    <w:rsid w:val="799B2E8B"/>
    <w:rsid w:val="7A652D50"/>
    <w:rsid w:val="7AF17390"/>
    <w:rsid w:val="7AFF9E84"/>
    <w:rsid w:val="7B2BDD31"/>
    <w:rsid w:val="7B5F2046"/>
    <w:rsid w:val="7B6F058C"/>
    <w:rsid w:val="7B937ECA"/>
    <w:rsid w:val="7BAFCB1D"/>
    <w:rsid w:val="7DAA4869"/>
    <w:rsid w:val="7DBFF2AA"/>
    <w:rsid w:val="7EEC65D1"/>
    <w:rsid w:val="7F8F4B0E"/>
    <w:rsid w:val="7FB9B621"/>
    <w:rsid w:val="7FBF59BE"/>
    <w:rsid w:val="7FC9F609"/>
    <w:rsid w:val="7FDF153F"/>
    <w:rsid w:val="7FF677D0"/>
    <w:rsid w:val="7FF761C4"/>
    <w:rsid w:val="7FFB6BFB"/>
    <w:rsid w:val="7FFF3062"/>
    <w:rsid w:val="994FF0C9"/>
    <w:rsid w:val="ADAF6B76"/>
    <w:rsid w:val="B77A26D3"/>
    <w:rsid w:val="B7FF9B08"/>
    <w:rsid w:val="B9759771"/>
    <w:rsid w:val="B9ED071B"/>
    <w:rsid w:val="B9FF33D4"/>
    <w:rsid w:val="BBDB37D6"/>
    <w:rsid w:val="BFCDBB9E"/>
    <w:rsid w:val="CD3F30FD"/>
    <w:rsid w:val="CEEFA656"/>
    <w:rsid w:val="CFBCC026"/>
    <w:rsid w:val="CFCF9B6B"/>
    <w:rsid w:val="DAC06104"/>
    <w:rsid w:val="DB169C55"/>
    <w:rsid w:val="DBFFB315"/>
    <w:rsid w:val="DDF6AB69"/>
    <w:rsid w:val="DEAFF9C9"/>
    <w:rsid w:val="DFD7C0D9"/>
    <w:rsid w:val="E9D1A8F2"/>
    <w:rsid w:val="EEAF6B62"/>
    <w:rsid w:val="EEF55DE6"/>
    <w:rsid w:val="EFFAA2B4"/>
    <w:rsid w:val="F3CFF2AE"/>
    <w:rsid w:val="F5A5E4C3"/>
    <w:rsid w:val="F5FE5655"/>
    <w:rsid w:val="F6EF024F"/>
    <w:rsid w:val="F76BB256"/>
    <w:rsid w:val="F77E02B6"/>
    <w:rsid w:val="F7A975FE"/>
    <w:rsid w:val="F7BF425A"/>
    <w:rsid w:val="F7FF1E92"/>
    <w:rsid w:val="FA7F8F98"/>
    <w:rsid w:val="FB7BE511"/>
    <w:rsid w:val="FBFB9F23"/>
    <w:rsid w:val="FC9F7525"/>
    <w:rsid w:val="FD7F154B"/>
    <w:rsid w:val="FDFC3D9D"/>
    <w:rsid w:val="FEDDA573"/>
    <w:rsid w:val="FF4ED30A"/>
    <w:rsid w:val="FFED6A90"/>
    <w:rsid w:val="FFF6D7AF"/>
    <w:rsid w:val="FFFB9A62"/>
    <w:rsid w:val="FFFBA2C1"/>
    <w:rsid w:val="FFFDDF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widowControl/>
      <w:spacing w:before="156" w:after="156" w:line="460" w:lineRule="atLeast"/>
      <w:ind w:firstLine="640" w:firstLineChars="200"/>
      <w:outlineLvl w:val="0"/>
    </w:pPr>
    <w:rPr>
      <w:rFonts w:ascii="仿宋" w:hAnsi="仿宋" w:eastAsia="仿宋"/>
      <w:bCs/>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99"/>
    <w:pPr>
      <w:tabs>
        <w:tab w:val="left" w:pos="0"/>
      </w:tabs>
    </w:pPr>
    <w:rPr>
      <w:rFonts w:ascii="宋体" w:hAnsi="宋体" w:eastAsia="仿宋_GB2312"/>
      <w:color w:val="000000"/>
      <w:sz w:val="24"/>
    </w:rPr>
  </w:style>
  <w:style w:type="paragraph" w:styleId="5">
    <w:name w:val="footer"/>
    <w:basedOn w:val="1"/>
    <w:qFormat/>
    <w:uiPriority w:val="0"/>
    <w:pPr>
      <w:keepNext w:val="0"/>
      <w:keepLines w:val="0"/>
      <w:widowControl w:val="0"/>
      <w:suppressLineNumbers w:val="0"/>
      <w:snapToGrid w:val="0"/>
      <w:spacing w:before="0" w:beforeAutospacing="0" w:after="0" w:afterAutospacing="0"/>
      <w:ind w:left="0" w:right="0"/>
      <w:jc w:val="left"/>
    </w:pPr>
    <w:rPr>
      <w:rFonts w:hint="default" w:ascii="Times New Roman" w:hAnsi="Times New Roman" w:cs="Times New Roman"/>
      <w:kern w:val="2"/>
      <w:sz w:val="18"/>
      <w:szCs w:val="18"/>
      <w:lang w:val="en-US" w:eastAsia="zh-CN" w:bidi="ar"/>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customStyle="1" w:styleId="14">
    <w:name w:val="font21"/>
    <w:basedOn w:val="12"/>
    <w:qFormat/>
    <w:uiPriority w:val="0"/>
    <w:rPr>
      <w:rFonts w:ascii="宋体" w:hAnsi="宋体" w:eastAsia="宋体" w:cs="宋体"/>
      <w:color w:val="000000"/>
      <w:sz w:val="20"/>
      <w:szCs w:val="20"/>
      <w:u w:val="none"/>
    </w:rPr>
  </w:style>
  <w:style w:type="character" w:customStyle="1" w:styleId="15">
    <w:name w:val="font31"/>
    <w:basedOn w:val="12"/>
    <w:qFormat/>
    <w:uiPriority w:val="0"/>
    <w:rPr>
      <w:rFonts w:ascii="宋体" w:hAnsi="宋体" w:eastAsia="宋体" w:cs="宋体"/>
      <w:color w:val="000000"/>
      <w:sz w:val="20"/>
      <w:szCs w:val="20"/>
      <w:u w:val="none"/>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19</Pages>
  <Words>10043</Words>
  <Characters>11085</Characters>
  <Lines>1</Lines>
  <Paragraphs>1</Paragraphs>
  <TotalTime>6</TotalTime>
  <ScaleCrop>false</ScaleCrop>
  <LinksUpToDate>false</LinksUpToDate>
  <CharactersWithSpaces>11280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2024-05-31T01:40:00Z</dcterms:created>
  <dc:creator>元彤</dc:creator>
  <cp:lastModifiedBy>元彤</cp:lastModifiedBy>
  <dcterms:modified xsi:type="dcterms:W3CDTF">2024-08-08T09:49:29Z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A8FB215245D3412CB75D824B4DE124CE_13</vt:lpwstr>
  </property>
</Properties>
</file>